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35" w:rsidRPr="00414DD1" w:rsidRDefault="00063B12" w:rsidP="006F6F1E">
      <w:pPr>
        <w:widowControl w:val="0"/>
        <w:jc w:val="both"/>
        <w:outlineLvl w:val="0"/>
        <w:rPr>
          <w:rFonts w:ascii="Calibri" w:hAnsi="Calibri"/>
          <w:b/>
          <w:sz w:val="24"/>
          <w:szCs w:val="24"/>
        </w:rPr>
      </w:pPr>
      <w:r w:rsidRPr="00414DD1">
        <w:rPr>
          <w:rFonts w:ascii="Calibri" w:hAnsi="Calibri"/>
          <w:b/>
          <w:sz w:val="24"/>
          <w:szCs w:val="24"/>
        </w:rPr>
        <w:t xml:space="preserve">Primi risultati </w:t>
      </w:r>
      <w:r w:rsidR="005211C3">
        <w:rPr>
          <w:rFonts w:ascii="Calibri" w:hAnsi="Calibri"/>
          <w:b/>
          <w:sz w:val="24"/>
          <w:szCs w:val="24"/>
        </w:rPr>
        <w:t xml:space="preserve">aggiornati al 14.12.2017 </w:t>
      </w:r>
      <w:r w:rsidRPr="00414DD1">
        <w:rPr>
          <w:rFonts w:ascii="Calibri" w:hAnsi="Calibri"/>
          <w:b/>
          <w:sz w:val="24"/>
          <w:szCs w:val="24"/>
        </w:rPr>
        <w:t>relativi all’applicazione II livello del protocollo di screening della popolazione esposta a sostanze perfluoroalchiliche a seguito dell’utilizzo della plasmaferesi per i soggetti con alte concentrazioni di pfas.</w:t>
      </w:r>
    </w:p>
    <w:p w:rsidR="00572E35" w:rsidRPr="00414DD1" w:rsidRDefault="00572E35" w:rsidP="00572E3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72E35" w:rsidRPr="00414DD1" w:rsidRDefault="001C7AD1" w:rsidP="006F6F1E">
      <w:pPr>
        <w:widowControl w:val="0"/>
        <w:jc w:val="both"/>
        <w:outlineLvl w:val="0"/>
        <w:rPr>
          <w:rFonts w:ascii="Calibri" w:hAnsi="Calibri"/>
          <w:b/>
          <w:sz w:val="24"/>
          <w:szCs w:val="24"/>
        </w:rPr>
      </w:pPr>
      <w:r w:rsidRPr="00414DD1">
        <w:rPr>
          <w:rFonts w:ascii="Calibri" w:hAnsi="Calibri"/>
          <w:b/>
          <w:sz w:val="24"/>
          <w:szCs w:val="24"/>
        </w:rPr>
        <w:t>Premessa</w:t>
      </w:r>
    </w:p>
    <w:p w:rsidR="00572E35" w:rsidRPr="00414DD1" w:rsidRDefault="00572E35" w:rsidP="00572E3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72E35" w:rsidRPr="00414DD1" w:rsidRDefault="00780850" w:rsidP="00572E35">
      <w:pPr>
        <w:widowControl w:val="0"/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 xml:space="preserve">Le </w:t>
      </w:r>
      <w:r w:rsidRPr="00414DD1">
        <w:rPr>
          <w:rFonts w:ascii="Calibri" w:hAnsi="Calibri"/>
          <w:bCs/>
          <w:i/>
          <w:sz w:val="24"/>
          <w:szCs w:val="24"/>
        </w:rPr>
        <w:t>so</w:t>
      </w:r>
      <w:r w:rsidR="001C7AD1" w:rsidRPr="00414DD1">
        <w:rPr>
          <w:rFonts w:ascii="Calibri" w:hAnsi="Calibri"/>
          <w:bCs/>
          <w:i/>
          <w:sz w:val="24"/>
          <w:szCs w:val="24"/>
        </w:rPr>
        <w:t>stanze perfluoroalchiliche (PFAs</w:t>
      </w:r>
      <w:r w:rsidRPr="00414DD1">
        <w:rPr>
          <w:rFonts w:ascii="Calibri" w:hAnsi="Calibri"/>
          <w:bCs/>
          <w:i/>
          <w:sz w:val="24"/>
          <w:szCs w:val="24"/>
        </w:rPr>
        <w:t>)</w:t>
      </w:r>
      <w:r w:rsidRPr="00414DD1">
        <w:rPr>
          <w:rFonts w:ascii="Calibri" w:hAnsi="Calibri"/>
          <w:i/>
          <w:sz w:val="24"/>
          <w:szCs w:val="24"/>
        </w:rPr>
        <w:t xml:space="preserve"> sono una famiglia di composti chimici, prodotti dall’uomo, utilizzati nell’industri</w:t>
      </w:r>
      <w:r w:rsidR="00136F49" w:rsidRPr="00414DD1">
        <w:rPr>
          <w:rFonts w:ascii="Calibri" w:hAnsi="Calibri"/>
          <w:i/>
          <w:sz w:val="24"/>
          <w:szCs w:val="24"/>
        </w:rPr>
        <w:t>a</w:t>
      </w:r>
      <w:r w:rsidRPr="00414DD1">
        <w:rPr>
          <w:rFonts w:ascii="Calibri" w:hAnsi="Calibri"/>
          <w:i/>
          <w:sz w:val="24"/>
          <w:szCs w:val="24"/>
        </w:rPr>
        <w:t xml:space="preserve"> per rendere i materiali res</w:t>
      </w:r>
      <w:r w:rsidR="00572E35" w:rsidRPr="00414DD1">
        <w:rPr>
          <w:rFonts w:ascii="Calibri" w:hAnsi="Calibri"/>
          <w:i/>
          <w:sz w:val="24"/>
          <w:szCs w:val="24"/>
        </w:rPr>
        <w:t>istenti ai grassi e all’acqua; vengono anche usati nella produzione di cosmetici e di alcuni farmaci.</w:t>
      </w:r>
    </w:p>
    <w:p w:rsidR="00572E35" w:rsidRPr="00414DD1" w:rsidRDefault="00572E35" w:rsidP="00572E35">
      <w:pPr>
        <w:widowControl w:val="0"/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>Sono costituiti da catene di atomi di carbonio a lunghezza variabile (da 4-16), legate a atomi di fluoro e ad altri gruppi funzionali. Per molti anni i PFA</w:t>
      </w:r>
      <w:r w:rsidR="001C7AD1" w:rsidRPr="00414DD1">
        <w:rPr>
          <w:rFonts w:ascii="Calibri" w:hAnsi="Calibri"/>
          <w:i/>
          <w:sz w:val="24"/>
          <w:szCs w:val="24"/>
        </w:rPr>
        <w:t>s</w:t>
      </w:r>
      <w:r w:rsidRPr="00414DD1">
        <w:rPr>
          <w:rFonts w:ascii="Calibri" w:hAnsi="Calibri"/>
          <w:i/>
          <w:sz w:val="24"/>
          <w:szCs w:val="24"/>
        </w:rPr>
        <w:t xml:space="preserve"> più utilizzati sono stati quelli a 8 atomi di carbonio come l’</w:t>
      </w:r>
      <w:r w:rsidRPr="00414DD1">
        <w:rPr>
          <w:rFonts w:ascii="Calibri" w:hAnsi="Calibri"/>
          <w:bCs/>
          <w:i/>
          <w:sz w:val="24"/>
          <w:szCs w:val="24"/>
        </w:rPr>
        <w:t>acido</w:t>
      </w:r>
      <w:r w:rsidRPr="00414DD1">
        <w:rPr>
          <w:rFonts w:ascii="Calibri" w:hAnsi="Calibri"/>
          <w:i/>
          <w:sz w:val="24"/>
          <w:szCs w:val="24"/>
        </w:rPr>
        <w:t xml:space="preserve"> </w:t>
      </w:r>
      <w:r w:rsidRPr="00414DD1">
        <w:rPr>
          <w:rFonts w:ascii="Calibri" w:hAnsi="Calibri"/>
          <w:bCs/>
          <w:i/>
          <w:sz w:val="24"/>
          <w:szCs w:val="24"/>
        </w:rPr>
        <w:t>perfluoroottansolfonico</w:t>
      </w:r>
      <w:r w:rsidRPr="00414DD1">
        <w:rPr>
          <w:rFonts w:ascii="Calibri" w:hAnsi="Calibri"/>
          <w:i/>
          <w:sz w:val="24"/>
          <w:szCs w:val="24"/>
        </w:rPr>
        <w:t xml:space="preserve"> </w:t>
      </w:r>
      <w:r w:rsidRPr="00414DD1">
        <w:rPr>
          <w:rFonts w:ascii="Calibri" w:hAnsi="Calibri"/>
          <w:bCs/>
          <w:i/>
          <w:sz w:val="24"/>
          <w:szCs w:val="24"/>
        </w:rPr>
        <w:t>(PFOS)</w:t>
      </w:r>
      <w:r w:rsidRPr="00414DD1">
        <w:rPr>
          <w:rFonts w:ascii="Calibri" w:hAnsi="Calibri"/>
          <w:i/>
          <w:sz w:val="24"/>
          <w:szCs w:val="24"/>
        </w:rPr>
        <w:t xml:space="preserve"> e l’</w:t>
      </w:r>
      <w:r w:rsidRPr="00414DD1">
        <w:rPr>
          <w:rFonts w:ascii="Calibri" w:hAnsi="Calibri"/>
          <w:bCs/>
          <w:i/>
          <w:sz w:val="24"/>
          <w:szCs w:val="24"/>
        </w:rPr>
        <w:t>acido perfluoroottanoico</w:t>
      </w:r>
      <w:r w:rsidRPr="00414DD1">
        <w:rPr>
          <w:rFonts w:ascii="Calibri" w:hAnsi="Calibri"/>
          <w:i/>
          <w:sz w:val="24"/>
          <w:szCs w:val="24"/>
        </w:rPr>
        <w:t xml:space="preserve"> </w:t>
      </w:r>
      <w:r w:rsidRPr="00414DD1">
        <w:rPr>
          <w:rFonts w:ascii="Calibri" w:hAnsi="Calibri"/>
          <w:bCs/>
          <w:i/>
          <w:sz w:val="24"/>
          <w:szCs w:val="24"/>
        </w:rPr>
        <w:t>(PFOA)</w:t>
      </w:r>
      <w:r w:rsidRPr="00414DD1">
        <w:rPr>
          <w:rFonts w:ascii="Calibri" w:hAnsi="Calibri"/>
          <w:i/>
          <w:sz w:val="24"/>
          <w:szCs w:val="24"/>
        </w:rPr>
        <w:t>. A causa della loro persistenza ambientale e della possibilità di accumularsi nell’organismo, dove permangono per periodi prolungati, a partire dagli anni 2000 alcune ditte produttrici hanno previsto l’interruzione della produzione di PFA</w:t>
      </w:r>
      <w:r w:rsidR="001C7AD1" w:rsidRPr="00414DD1">
        <w:rPr>
          <w:rFonts w:ascii="Calibri" w:hAnsi="Calibri"/>
          <w:i/>
          <w:sz w:val="24"/>
          <w:szCs w:val="24"/>
        </w:rPr>
        <w:t>s</w:t>
      </w:r>
      <w:r w:rsidRPr="00414DD1">
        <w:rPr>
          <w:rFonts w:ascii="Calibri" w:hAnsi="Calibri"/>
          <w:i/>
          <w:sz w:val="24"/>
          <w:szCs w:val="24"/>
        </w:rPr>
        <w:t xml:space="preserve"> a catena lunga e la loro sostituzione con PFA</w:t>
      </w:r>
      <w:r w:rsidR="001C7AD1" w:rsidRPr="00414DD1">
        <w:rPr>
          <w:rFonts w:ascii="Calibri" w:hAnsi="Calibri"/>
          <w:i/>
          <w:sz w:val="24"/>
          <w:szCs w:val="24"/>
        </w:rPr>
        <w:t>s</w:t>
      </w:r>
      <w:r w:rsidRPr="00414DD1">
        <w:rPr>
          <w:rFonts w:ascii="Calibri" w:hAnsi="Calibri"/>
          <w:i/>
          <w:sz w:val="24"/>
          <w:szCs w:val="24"/>
        </w:rPr>
        <w:t xml:space="preserve"> a catena più corta (6 o 4 atomi di carbonio).</w:t>
      </w:r>
    </w:p>
    <w:p w:rsidR="00572E35" w:rsidRPr="00414DD1" w:rsidRDefault="00572E35" w:rsidP="00572E35">
      <w:pPr>
        <w:widowControl w:val="0"/>
        <w:ind w:left="167" w:hanging="167"/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>I PFA</w:t>
      </w:r>
      <w:r w:rsidR="001C7AD1" w:rsidRPr="00414DD1">
        <w:rPr>
          <w:rFonts w:ascii="Calibri" w:hAnsi="Calibri"/>
          <w:i/>
          <w:sz w:val="24"/>
          <w:szCs w:val="24"/>
        </w:rPr>
        <w:t>s</w:t>
      </w:r>
      <w:r w:rsidRPr="00414DD1">
        <w:rPr>
          <w:rFonts w:ascii="Calibri" w:hAnsi="Calibri"/>
          <w:i/>
          <w:sz w:val="24"/>
          <w:szCs w:val="24"/>
        </w:rPr>
        <w:t xml:space="preserve"> sono sostanze con proprietà molto significative:</w:t>
      </w:r>
    </w:p>
    <w:p w:rsidR="00572E35" w:rsidRPr="00414DD1" w:rsidRDefault="00572E35" w:rsidP="00572E35">
      <w:pPr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 xml:space="preserve">- </w:t>
      </w:r>
      <w:r w:rsidRPr="00414DD1">
        <w:rPr>
          <w:rFonts w:ascii="Calibri" w:hAnsi="Calibri"/>
          <w:bCs/>
          <w:i/>
          <w:sz w:val="24"/>
          <w:szCs w:val="24"/>
        </w:rPr>
        <w:t>chimicamente stabili</w:t>
      </w:r>
      <w:r w:rsidRPr="00414DD1">
        <w:rPr>
          <w:rFonts w:ascii="Calibri" w:hAnsi="Calibri"/>
          <w:i/>
          <w:sz w:val="24"/>
          <w:szCs w:val="24"/>
        </w:rPr>
        <w:t xml:space="preserve"> nell’ambiente;</w:t>
      </w:r>
    </w:p>
    <w:p w:rsidR="00572E35" w:rsidRPr="00414DD1" w:rsidRDefault="00572E35" w:rsidP="00572E35">
      <w:pPr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 xml:space="preserve">- </w:t>
      </w:r>
      <w:r w:rsidRPr="00414DD1">
        <w:rPr>
          <w:rFonts w:ascii="Calibri" w:hAnsi="Calibri"/>
          <w:bCs/>
          <w:i/>
          <w:sz w:val="24"/>
          <w:szCs w:val="24"/>
        </w:rPr>
        <w:t>resistenti</w:t>
      </w:r>
      <w:r w:rsidRPr="00414DD1">
        <w:rPr>
          <w:rFonts w:ascii="Calibri" w:hAnsi="Calibri"/>
          <w:i/>
          <w:sz w:val="24"/>
          <w:szCs w:val="24"/>
        </w:rPr>
        <w:t xml:space="preserve"> ai naturali processi di degradazione;</w:t>
      </w:r>
    </w:p>
    <w:p w:rsidR="00572E35" w:rsidRPr="00414DD1" w:rsidRDefault="00572E35" w:rsidP="00572E35">
      <w:pPr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 xml:space="preserve">- con capacità di </w:t>
      </w:r>
      <w:r w:rsidRPr="00414DD1">
        <w:rPr>
          <w:rFonts w:ascii="Calibri" w:hAnsi="Calibri"/>
          <w:bCs/>
          <w:i/>
          <w:sz w:val="24"/>
          <w:szCs w:val="24"/>
        </w:rPr>
        <w:t>bioaccumulo</w:t>
      </w:r>
      <w:r w:rsidRPr="00414DD1">
        <w:rPr>
          <w:rFonts w:ascii="Calibri" w:hAnsi="Calibri"/>
          <w:i/>
          <w:sz w:val="24"/>
          <w:szCs w:val="24"/>
        </w:rPr>
        <w:t>;</w:t>
      </w:r>
    </w:p>
    <w:p w:rsidR="00572E35" w:rsidRPr="00414DD1" w:rsidRDefault="00572E35" w:rsidP="00572E35">
      <w:pPr>
        <w:widowControl w:val="0"/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 xml:space="preserve">- con caratteristiche </w:t>
      </w:r>
      <w:r w:rsidRPr="00414DD1">
        <w:rPr>
          <w:rFonts w:ascii="Calibri" w:hAnsi="Calibri"/>
          <w:bCs/>
          <w:i/>
          <w:sz w:val="24"/>
          <w:szCs w:val="24"/>
        </w:rPr>
        <w:t>idrofile</w:t>
      </w:r>
      <w:r w:rsidRPr="00414DD1">
        <w:rPr>
          <w:rFonts w:ascii="Calibri" w:hAnsi="Calibri"/>
          <w:i/>
          <w:sz w:val="24"/>
          <w:szCs w:val="24"/>
        </w:rPr>
        <w:t xml:space="preserve"> (affini all’acqua) e </w:t>
      </w:r>
      <w:r w:rsidRPr="00414DD1">
        <w:rPr>
          <w:rFonts w:ascii="Calibri" w:hAnsi="Calibri"/>
          <w:bCs/>
          <w:i/>
          <w:sz w:val="24"/>
          <w:szCs w:val="24"/>
        </w:rPr>
        <w:t>lipofile</w:t>
      </w:r>
      <w:r w:rsidRPr="00414DD1">
        <w:rPr>
          <w:rFonts w:ascii="Calibri" w:hAnsi="Calibri"/>
          <w:i/>
          <w:sz w:val="24"/>
          <w:szCs w:val="24"/>
        </w:rPr>
        <w:t xml:space="preserve"> (affini ai grassi).</w:t>
      </w:r>
    </w:p>
    <w:p w:rsidR="00572E35" w:rsidRPr="00414DD1" w:rsidRDefault="00572E35" w:rsidP="00572E35">
      <w:pPr>
        <w:widowControl w:val="0"/>
        <w:rPr>
          <w:i/>
          <w:sz w:val="24"/>
          <w:szCs w:val="24"/>
        </w:rPr>
      </w:pPr>
    </w:p>
    <w:p w:rsidR="00780850" w:rsidRPr="00414DD1" w:rsidRDefault="00780850" w:rsidP="00780850">
      <w:pPr>
        <w:widowControl w:val="0"/>
        <w:jc w:val="both"/>
        <w:rPr>
          <w:rFonts w:ascii="Calibri" w:hAnsi="Calibri"/>
          <w:i/>
          <w:sz w:val="24"/>
          <w:szCs w:val="24"/>
        </w:rPr>
      </w:pPr>
      <w:r w:rsidRPr="00414DD1">
        <w:rPr>
          <w:rFonts w:ascii="Calibri" w:hAnsi="Calibri"/>
          <w:i/>
          <w:sz w:val="24"/>
          <w:szCs w:val="24"/>
        </w:rPr>
        <w:t>In alcuni Comuni del Veneto si è verificato un inquinamento da PFA</w:t>
      </w:r>
      <w:r w:rsidR="001C7AD1" w:rsidRPr="00414DD1">
        <w:rPr>
          <w:rFonts w:ascii="Calibri" w:hAnsi="Calibri"/>
          <w:i/>
          <w:sz w:val="24"/>
          <w:szCs w:val="24"/>
        </w:rPr>
        <w:t>s</w:t>
      </w:r>
      <w:r w:rsidRPr="00414DD1">
        <w:rPr>
          <w:rFonts w:ascii="Calibri" w:hAnsi="Calibri"/>
          <w:i/>
          <w:sz w:val="24"/>
          <w:szCs w:val="24"/>
        </w:rPr>
        <w:t xml:space="preserve"> delle acque a partire dagli anni ’70. Le Strutture regionali della Sanità sono venute a conoscenza di tale fenomeno nel 2013 attraverso la relazione elaborata dall’Istituto di Ricerca sulle Acque – CNR, trasmessa dal Mi</w:t>
      </w:r>
      <w:r w:rsidR="001C7AD1" w:rsidRPr="00414DD1">
        <w:rPr>
          <w:rFonts w:ascii="Calibri" w:hAnsi="Calibri"/>
          <w:i/>
          <w:sz w:val="24"/>
          <w:szCs w:val="24"/>
        </w:rPr>
        <w:t>nistero della Salute. Da allora</w:t>
      </w:r>
      <w:r w:rsidRPr="00414DD1">
        <w:rPr>
          <w:rFonts w:ascii="Calibri" w:hAnsi="Calibri"/>
          <w:i/>
          <w:sz w:val="24"/>
          <w:szCs w:val="24"/>
        </w:rPr>
        <w:t xml:space="preserve"> la Regione Veneto ha messo in atto numerose azioni, come l’individuazione dell’area di contaminazione e dell</w:t>
      </w:r>
      <w:r w:rsidR="001C7AD1" w:rsidRPr="00414DD1">
        <w:rPr>
          <w:rFonts w:ascii="Calibri" w:hAnsi="Calibri"/>
          <w:i/>
          <w:sz w:val="24"/>
          <w:szCs w:val="24"/>
        </w:rPr>
        <w:t>a principale fonte responsabile,</w:t>
      </w:r>
      <w:r w:rsidRPr="00414DD1">
        <w:rPr>
          <w:rFonts w:ascii="Calibri" w:hAnsi="Calibri"/>
          <w:i/>
          <w:sz w:val="24"/>
          <w:szCs w:val="24"/>
        </w:rPr>
        <w:t xml:space="preserve"> la messa in sicurezza della distribuzione dell’acqua potabile e la mappatura ed</w:t>
      </w:r>
      <w:r w:rsidR="001C7AD1" w:rsidRPr="00414DD1">
        <w:rPr>
          <w:rFonts w:ascii="Calibri" w:hAnsi="Calibri"/>
          <w:i/>
          <w:sz w:val="24"/>
          <w:szCs w:val="24"/>
        </w:rPr>
        <w:t xml:space="preserve"> il controllo dei pozzi privati,</w:t>
      </w:r>
      <w:r w:rsidRPr="00414DD1">
        <w:rPr>
          <w:rFonts w:ascii="Calibri" w:hAnsi="Calibri"/>
          <w:i/>
          <w:sz w:val="24"/>
          <w:szCs w:val="24"/>
        </w:rPr>
        <w:t xml:space="preserve"> l’avvio di uno studio di biom</w:t>
      </w:r>
      <w:r w:rsidR="001C7AD1" w:rsidRPr="00414DD1">
        <w:rPr>
          <w:rFonts w:ascii="Calibri" w:hAnsi="Calibri"/>
          <w:i/>
          <w:sz w:val="24"/>
          <w:szCs w:val="24"/>
        </w:rPr>
        <w:t>onitoraggio,</w:t>
      </w:r>
      <w:r w:rsidRPr="00414DD1">
        <w:rPr>
          <w:rFonts w:ascii="Calibri" w:hAnsi="Calibri"/>
          <w:i/>
          <w:sz w:val="24"/>
          <w:szCs w:val="24"/>
        </w:rPr>
        <w:t xml:space="preserve"> l’avvio di studi retrospettivi ed eco</w:t>
      </w:r>
      <w:r w:rsidR="001C7AD1" w:rsidRPr="00414DD1">
        <w:rPr>
          <w:rFonts w:ascii="Calibri" w:hAnsi="Calibri"/>
          <w:i/>
          <w:sz w:val="24"/>
          <w:szCs w:val="24"/>
        </w:rPr>
        <w:t>logici sulle patologie tumorali,</w:t>
      </w:r>
      <w:r w:rsidRPr="00414DD1">
        <w:rPr>
          <w:rFonts w:ascii="Calibri" w:hAnsi="Calibri"/>
          <w:i/>
          <w:sz w:val="24"/>
          <w:szCs w:val="24"/>
        </w:rPr>
        <w:t xml:space="preserve"> l’istituzione di Gruppi di lavoro e di una specifica Commissione sul tema.</w:t>
      </w:r>
    </w:p>
    <w:p w:rsidR="003D3DF3" w:rsidRPr="00414DD1" w:rsidRDefault="003D3DF3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72E35" w:rsidRPr="00414DD1" w:rsidRDefault="00572E35" w:rsidP="006F6F1E">
      <w:pPr>
        <w:widowControl w:val="0"/>
        <w:jc w:val="both"/>
        <w:outlineLvl w:val="0"/>
        <w:rPr>
          <w:rFonts w:ascii="Calibri" w:hAnsi="Calibri"/>
          <w:b/>
          <w:sz w:val="24"/>
          <w:szCs w:val="24"/>
        </w:rPr>
      </w:pPr>
      <w:r w:rsidRPr="00414DD1">
        <w:rPr>
          <w:rFonts w:ascii="Calibri" w:hAnsi="Calibri"/>
          <w:b/>
          <w:sz w:val="24"/>
          <w:szCs w:val="24"/>
        </w:rPr>
        <w:t>Il Piano di Sorveglianza sulla Popolazione Esposta alle sostanze Perfluoroalchiliche.</w:t>
      </w:r>
    </w:p>
    <w:p w:rsidR="00572E35" w:rsidRPr="00414DD1" w:rsidRDefault="00572E35" w:rsidP="005F127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136F49" w:rsidRPr="00414DD1" w:rsidRDefault="00572E35" w:rsidP="005F127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A</w:t>
      </w:r>
      <w:r w:rsidR="003D3DF3" w:rsidRPr="00414DD1">
        <w:rPr>
          <w:rFonts w:ascii="Calibri" w:hAnsi="Calibri"/>
          <w:sz w:val="24"/>
          <w:szCs w:val="24"/>
        </w:rPr>
        <w:t xml:space="preserve">ll’esito dei risultati prodotti dalle analisi sierologiche condotte sulla popolazione, </w:t>
      </w:r>
      <w:r w:rsidR="00136F49" w:rsidRPr="00414DD1">
        <w:rPr>
          <w:rFonts w:ascii="Calibri" w:hAnsi="Calibri"/>
          <w:sz w:val="24"/>
          <w:szCs w:val="24"/>
        </w:rPr>
        <w:t xml:space="preserve">nell’ambito dello </w:t>
      </w:r>
      <w:r w:rsidR="003D3DF3" w:rsidRPr="00414DD1">
        <w:rPr>
          <w:rFonts w:ascii="Calibri" w:hAnsi="Calibri"/>
          <w:sz w:val="24"/>
          <w:szCs w:val="24"/>
        </w:rPr>
        <w:t>studio di “Biomonitoraggio di so</w:t>
      </w:r>
      <w:r w:rsidR="001C7AD1" w:rsidRPr="00414DD1">
        <w:rPr>
          <w:rFonts w:ascii="Calibri" w:hAnsi="Calibri"/>
          <w:sz w:val="24"/>
          <w:szCs w:val="24"/>
        </w:rPr>
        <w:t>stanze perfluoroalchiliche (PFAs</w:t>
      </w:r>
      <w:r w:rsidR="003D3DF3" w:rsidRPr="00414DD1">
        <w:rPr>
          <w:rFonts w:ascii="Calibri" w:hAnsi="Calibri"/>
          <w:sz w:val="24"/>
          <w:szCs w:val="24"/>
        </w:rPr>
        <w:t>) in alcuni ambiti del territorio della Regione del Veneto”, realizzato in collaborazione tra l’Istituto Superiore di Sanità e la Regione Veneto, quest’ultima ha avviato un “Piano di Sorveglianza sulla Popolazione Esposta alle sostanze Perfluoroalchiliche”</w:t>
      </w:r>
      <w:r w:rsidR="00136F49" w:rsidRPr="00414DD1">
        <w:rPr>
          <w:rFonts w:ascii="Calibri" w:hAnsi="Calibri"/>
          <w:sz w:val="24"/>
          <w:szCs w:val="24"/>
        </w:rPr>
        <w:t>.</w:t>
      </w:r>
    </w:p>
    <w:p w:rsidR="005F127C" w:rsidRPr="00414DD1" w:rsidRDefault="003D3DF3" w:rsidP="005F127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Il Piano, approvato con la </w:t>
      </w:r>
      <w:r w:rsidRPr="00414DD1">
        <w:rPr>
          <w:rFonts w:ascii="Calibri" w:hAnsi="Calibri"/>
          <w:b/>
          <w:sz w:val="24"/>
          <w:szCs w:val="24"/>
        </w:rPr>
        <w:t>D.G.R. n. 2133</w:t>
      </w:r>
      <w:r w:rsidRPr="00414DD1">
        <w:rPr>
          <w:rFonts w:ascii="Calibri" w:hAnsi="Calibri"/>
          <w:sz w:val="24"/>
          <w:szCs w:val="24"/>
        </w:rPr>
        <w:t xml:space="preserve"> </w:t>
      </w:r>
      <w:r w:rsidRPr="00414DD1">
        <w:rPr>
          <w:rFonts w:ascii="Calibri" w:hAnsi="Calibri"/>
          <w:b/>
          <w:sz w:val="24"/>
          <w:szCs w:val="24"/>
        </w:rPr>
        <w:t>del 23/12/2016</w:t>
      </w:r>
      <w:r w:rsidRPr="00414DD1">
        <w:rPr>
          <w:rFonts w:ascii="Calibri" w:hAnsi="Calibri"/>
          <w:sz w:val="24"/>
          <w:szCs w:val="24"/>
        </w:rPr>
        <w:t xml:space="preserve">, si pone come obiettivo generale “la prevenzione delle malattie croniche degenerative dovute all’esposizione alle sostanze perfluoralchiliche ed agli scorretti stili di vita, attraverso la presa in carico della popolazione esposta” e si basa sulla considerazione che la popolazione esposta </w:t>
      </w:r>
      <w:r w:rsidR="00136F49" w:rsidRPr="00414DD1">
        <w:rPr>
          <w:rFonts w:ascii="Calibri" w:hAnsi="Calibri"/>
          <w:sz w:val="24"/>
          <w:szCs w:val="24"/>
        </w:rPr>
        <w:t>ai PFA</w:t>
      </w:r>
      <w:r w:rsidR="001C7AD1" w:rsidRPr="00414DD1">
        <w:rPr>
          <w:rFonts w:ascii="Calibri" w:hAnsi="Calibri"/>
          <w:sz w:val="24"/>
          <w:szCs w:val="24"/>
        </w:rPr>
        <w:t>s</w:t>
      </w:r>
      <w:r w:rsidRPr="00414DD1">
        <w:rPr>
          <w:rFonts w:ascii="Calibri" w:hAnsi="Calibri"/>
          <w:sz w:val="24"/>
          <w:szCs w:val="24"/>
        </w:rPr>
        <w:t xml:space="preserve"> possa presentare un maggior rischio di incorrere in malattie croniche determinate non solo dai quattro principali fattori di rischio (fumo, alcool, sedentarietà e sovrappeso), ma anche dall’esposizione</w:t>
      </w:r>
      <w:r w:rsidR="00136F49" w:rsidRPr="00414DD1">
        <w:rPr>
          <w:rFonts w:ascii="Calibri" w:hAnsi="Calibri"/>
          <w:sz w:val="24"/>
          <w:szCs w:val="24"/>
        </w:rPr>
        <w:t xml:space="preserve"> a queste sostanze, </w:t>
      </w:r>
      <w:r w:rsidRPr="00414DD1">
        <w:rPr>
          <w:rFonts w:ascii="Calibri" w:hAnsi="Calibri"/>
          <w:sz w:val="24"/>
          <w:szCs w:val="24"/>
        </w:rPr>
        <w:t>che si configura</w:t>
      </w:r>
      <w:r w:rsidR="00136F49" w:rsidRPr="00414DD1">
        <w:rPr>
          <w:rFonts w:ascii="Calibri" w:hAnsi="Calibri"/>
          <w:sz w:val="24"/>
          <w:szCs w:val="24"/>
        </w:rPr>
        <w:t>no,</w:t>
      </w:r>
      <w:r w:rsidRPr="00414DD1">
        <w:rPr>
          <w:rFonts w:ascii="Calibri" w:hAnsi="Calibri"/>
          <w:sz w:val="24"/>
          <w:szCs w:val="24"/>
        </w:rPr>
        <w:t xml:space="preserve"> pertanto</w:t>
      </w:r>
      <w:r w:rsidR="00136F49" w:rsidRPr="00414DD1">
        <w:rPr>
          <w:rFonts w:ascii="Calibri" w:hAnsi="Calibri"/>
          <w:sz w:val="24"/>
          <w:szCs w:val="24"/>
        </w:rPr>
        <w:t>,</w:t>
      </w:r>
      <w:r w:rsidRPr="00414DD1">
        <w:rPr>
          <w:rFonts w:ascii="Calibri" w:hAnsi="Calibri"/>
          <w:sz w:val="24"/>
          <w:szCs w:val="24"/>
        </w:rPr>
        <w:t xml:space="preserve"> come il “quinto” fattore di rischio.</w:t>
      </w:r>
    </w:p>
    <w:p w:rsidR="00271D6C" w:rsidRPr="00414DD1" w:rsidRDefault="00271D6C" w:rsidP="00E36AB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36ABC" w:rsidRPr="00414DD1" w:rsidRDefault="00572E35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In particolare</w:t>
      </w:r>
      <w:r w:rsidR="00E36ABC" w:rsidRPr="00414DD1">
        <w:rPr>
          <w:rFonts w:ascii="Calibri" w:hAnsi="Calibri"/>
          <w:sz w:val="24"/>
          <w:szCs w:val="24"/>
        </w:rPr>
        <w:t xml:space="preserve"> il Piano si propone di:</w:t>
      </w:r>
    </w:p>
    <w:p w:rsidR="00E36ABC" w:rsidRPr="00414DD1" w:rsidRDefault="00271D6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· caratterizzare</w:t>
      </w:r>
      <w:r w:rsidR="001C7AD1" w:rsidRPr="00414DD1">
        <w:rPr>
          <w:rFonts w:ascii="Calibri" w:hAnsi="Calibri"/>
          <w:sz w:val="24"/>
          <w:szCs w:val="24"/>
        </w:rPr>
        <w:t xml:space="preserve"> l’esposizione a PFAs</w:t>
      </w:r>
      <w:r w:rsidR="00E36ABC" w:rsidRPr="00414DD1">
        <w:rPr>
          <w:rFonts w:ascii="Calibri" w:hAnsi="Calibri"/>
          <w:sz w:val="24"/>
          <w:szCs w:val="24"/>
        </w:rPr>
        <w:t xml:space="preserve"> delle persone che risiedono nelle aree contaminate;</w:t>
      </w:r>
    </w:p>
    <w:p w:rsidR="00E36ABC" w:rsidRPr="00414DD1" w:rsidRDefault="00271D6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lastRenderedPageBreak/>
        <w:t>· valutare</w:t>
      </w:r>
      <w:r w:rsidR="00E36ABC" w:rsidRPr="00414DD1">
        <w:rPr>
          <w:rFonts w:ascii="Calibri" w:hAnsi="Calibri"/>
          <w:sz w:val="24"/>
          <w:szCs w:val="24"/>
        </w:rPr>
        <w:t xml:space="preserve"> gli </w:t>
      </w:r>
      <w:r w:rsidR="001C7AD1" w:rsidRPr="00414DD1">
        <w:rPr>
          <w:rFonts w:ascii="Calibri" w:hAnsi="Calibri"/>
          <w:sz w:val="24"/>
          <w:szCs w:val="24"/>
        </w:rPr>
        <w:t>effetti delle esposizioni a PFAs</w:t>
      </w:r>
      <w:r w:rsidR="00E36ABC" w:rsidRPr="00414DD1">
        <w:rPr>
          <w:rFonts w:ascii="Calibri" w:hAnsi="Calibri"/>
          <w:sz w:val="24"/>
          <w:szCs w:val="24"/>
        </w:rPr>
        <w:t xml:space="preserve"> sulla salute dei soggetti esposti;</w:t>
      </w:r>
    </w:p>
    <w:p w:rsidR="00E36ABC" w:rsidRPr="00414DD1" w:rsidRDefault="00271D6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· identificare</w:t>
      </w:r>
      <w:r w:rsidR="00E36ABC" w:rsidRPr="00414DD1">
        <w:rPr>
          <w:rFonts w:ascii="Calibri" w:hAnsi="Calibri"/>
          <w:sz w:val="24"/>
          <w:szCs w:val="24"/>
        </w:rPr>
        <w:t xml:space="preserve"> i comportamenti a rischio per le malattie croniche degenerative.</w:t>
      </w:r>
    </w:p>
    <w:p w:rsidR="00E36ABC" w:rsidRPr="00414DD1" w:rsidRDefault="00E36ABC" w:rsidP="005F127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36ABC" w:rsidRPr="00414DD1" w:rsidRDefault="00E36AB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All’interno del Piano è stata definita, attraverso l’analisi dei dati, la graduazione delle aree in: Area Rossa, Area Arancione, Area Gialla, Area Verde.</w:t>
      </w:r>
    </w:p>
    <w:p w:rsidR="00E36ABC" w:rsidRPr="00414DD1" w:rsidRDefault="00E36AB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L’Area Rossa è l’area di maggior impatto sanitario prima della apposizione dei filtri, sulla base dei risultati del biomonitoraggio, partendo dai Comuni con la più significativa concentrazione di PFOA nel sangue, e dove si riscontrano elevate concentrazioni di queste sostanze nelle acque sotterranee e superficiali. In tale Area, è stato possibile differenziare un’</w:t>
      </w:r>
      <w:r w:rsidR="001C7AD1" w:rsidRPr="00414DD1">
        <w:rPr>
          <w:rFonts w:ascii="Calibri" w:hAnsi="Calibri"/>
          <w:sz w:val="24"/>
          <w:szCs w:val="24"/>
        </w:rPr>
        <w:t>a</w:t>
      </w:r>
      <w:r w:rsidRPr="00414DD1">
        <w:rPr>
          <w:rFonts w:ascii="Calibri" w:hAnsi="Calibri"/>
          <w:sz w:val="24"/>
          <w:szCs w:val="24"/>
        </w:rPr>
        <w:t>rea dove è maggiore la concentrazione di sostanze perfluoroalchiliche in tutte le acque, denominata “Area Rossa A”, ed un’</w:t>
      </w:r>
      <w:r w:rsidR="001C7AD1" w:rsidRPr="00414DD1">
        <w:rPr>
          <w:rFonts w:ascii="Calibri" w:hAnsi="Calibri"/>
          <w:sz w:val="24"/>
          <w:szCs w:val="24"/>
        </w:rPr>
        <w:t>a</w:t>
      </w:r>
      <w:r w:rsidRPr="00414DD1">
        <w:rPr>
          <w:rFonts w:ascii="Calibri" w:hAnsi="Calibri"/>
          <w:sz w:val="24"/>
          <w:szCs w:val="24"/>
        </w:rPr>
        <w:t>rea dove la contaminazione delle acque superficiali e sotterranee è min</w:t>
      </w:r>
      <w:r w:rsidR="0082283A" w:rsidRPr="00414DD1">
        <w:rPr>
          <w:rFonts w:ascii="Calibri" w:hAnsi="Calibri"/>
          <w:sz w:val="24"/>
          <w:szCs w:val="24"/>
        </w:rPr>
        <w:t>ore, denominata “Area Rossa B”.</w:t>
      </w:r>
    </w:p>
    <w:p w:rsidR="0082283A" w:rsidRPr="00414DD1" w:rsidRDefault="0082283A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63500</wp:posOffset>
            </wp:positionV>
            <wp:extent cx="3455035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37" y="21317"/>
                <wp:lineTo x="21437" y="0"/>
                <wp:lineTo x="0" y="0"/>
              </wp:wrapPolygon>
            </wp:wrapTight>
            <wp:docPr id="1" name="Segnaposto contenuto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gnaposto contenuto 3"/>
                    <pic:cNvPicPr>
                      <a:picLocks noGr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83A" w:rsidRPr="00414DD1" w:rsidRDefault="0082283A" w:rsidP="00E36AB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E36AB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72E35" w:rsidRPr="00414DD1" w:rsidRDefault="00572E35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780850" w:rsidRPr="00414DD1" w:rsidRDefault="00780850" w:rsidP="00780850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Gli obiettivi del Piano si coordinano con il monitoraggio dello stato di salute dei soggetti esposti, attraverso l’offerta terapeutica affidata alla medicina di famiglia, e con l’attivazione ed il potenziamento delle attività di prevenzione affidate ai Dipartimenti di Prevenzione presenti sul territorio, per il contrasto  degli stili di vita scorretti.</w:t>
      </w:r>
    </w:p>
    <w:p w:rsidR="00572E35" w:rsidRPr="00414DD1" w:rsidRDefault="00E36AB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Il Piano è</w:t>
      </w:r>
      <w:r w:rsidR="00572E35" w:rsidRPr="00414DD1">
        <w:rPr>
          <w:rFonts w:ascii="Calibri" w:hAnsi="Calibri"/>
          <w:sz w:val="24"/>
          <w:szCs w:val="24"/>
        </w:rPr>
        <w:t xml:space="preserve"> stato</w:t>
      </w:r>
      <w:r w:rsidRPr="00414DD1">
        <w:rPr>
          <w:rFonts w:ascii="Calibri" w:hAnsi="Calibri"/>
          <w:sz w:val="24"/>
          <w:szCs w:val="24"/>
        </w:rPr>
        <w:t xml:space="preserve"> esteso alle cinque Aziende ULSS coinvolte (</w:t>
      </w:r>
      <w:r w:rsidRPr="00414DD1">
        <w:rPr>
          <w:rFonts w:ascii="Calibri" w:hAnsi="Calibri"/>
          <w:b/>
          <w:sz w:val="24"/>
          <w:szCs w:val="24"/>
        </w:rPr>
        <w:t>ULSS 6 Euganea</w:t>
      </w:r>
      <w:r w:rsidRPr="00414DD1">
        <w:rPr>
          <w:rFonts w:ascii="Calibri" w:hAnsi="Calibri"/>
          <w:sz w:val="24"/>
          <w:szCs w:val="24"/>
        </w:rPr>
        <w:t xml:space="preserve"> - ex ULSS 17, </w:t>
      </w:r>
      <w:r w:rsidRPr="00414DD1">
        <w:rPr>
          <w:rFonts w:ascii="Calibri" w:hAnsi="Calibri"/>
          <w:b/>
          <w:sz w:val="24"/>
          <w:szCs w:val="24"/>
        </w:rPr>
        <w:t>ULSS 8 Berica</w:t>
      </w:r>
      <w:r w:rsidRPr="00414DD1">
        <w:rPr>
          <w:rFonts w:ascii="Calibri" w:hAnsi="Calibri"/>
          <w:sz w:val="24"/>
          <w:szCs w:val="24"/>
        </w:rPr>
        <w:t xml:space="preserve"> - ex ULSS 5 ed ex ULSS 6 ed </w:t>
      </w:r>
      <w:r w:rsidRPr="00414DD1">
        <w:rPr>
          <w:rFonts w:ascii="Calibri" w:hAnsi="Calibri"/>
          <w:b/>
          <w:sz w:val="24"/>
          <w:szCs w:val="24"/>
        </w:rPr>
        <w:t>ULSS 9 Scaligera</w:t>
      </w:r>
      <w:r w:rsidRPr="00414DD1">
        <w:rPr>
          <w:rFonts w:ascii="Calibri" w:hAnsi="Calibri"/>
          <w:sz w:val="24"/>
          <w:szCs w:val="24"/>
        </w:rPr>
        <w:t xml:space="preserve"> - ex ULSS 20 ed ex ULSS 21) ed </w:t>
      </w:r>
      <w:r w:rsidR="00572E35" w:rsidRPr="00414DD1">
        <w:rPr>
          <w:rFonts w:ascii="Calibri" w:hAnsi="Calibri"/>
          <w:sz w:val="24"/>
          <w:szCs w:val="24"/>
        </w:rPr>
        <w:t xml:space="preserve">ha interessato </w:t>
      </w:r>
      <w:r w:rsidRPr="00414DD1">
        <w:rPr>
          <w:rFonts w:ascii="Calibri" w:hAnsi="Calibri"/>
          <w:sz w:val="24"/>
          <w:szCs w:val="24"/>
        </w:rPr>
        <w:t>quasi 85.000 persone, comprese tra i 14 ed i 65 anni.</w:t>
      </w:r>
    </w:p>
    <w:p w:rsidR="00271D6C" w:rsidRPr="00414DD1" w:rsidRDefault="00271D6C" w:rsidP="00E36AB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36ABC" w:rsidRPr="00414DD1" w:rsidRDefault="00E36AB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La fase operativa</w:t>
      </w:r>
      <w:r w:rsidR="00572E35" w:rsidRPr="00414DD1">
        <w:rPr>
          <w:rFonts w:ascii="Calibri" w:hAnsi="Calibri"/>
          <w:sz w:val="24"/>
          <w:szCs w:val="24"/>
        </w:rPr>
        <w:t xml:space="preserve"> iniziale</w:t>
      </w:r>
      <w:r w:rsidRPr="00414DD1">
        <w:rPr>
          <w:rFonts w:ascii="Calibri" w:hAnsi="Calibri"/>
          <w:sz w:val="24"/>
          <w:szCs w:val="24"/>
        </w:rPr>
        <w:t xml:space="preserve"> è </w:t>
      </w:r>
      <w:r w:rsidR="00572E35" w:rsidRPr="00414DD1">
        <w:rPr>
          <w:rFonts w:ascii="Calibri" w:hAnsi="Calibri"/>
          <w:sz w:val="24"/>
          <w:szCs w:val="24"/>
        </w:rPr>
        <w:t xml:space="preserve">stata </w:t>
      </w:r>
      <w:r w:rsidRPr="00414DD1">
        <w:rPr>
          <w:rFonts w:ascii="Calibri" w:hAnsi="Calibri"/>
          <w:sz w:val="24"/>
          <w:szCs w:val="24"/>
        </w:rPr>
        <w:t xml:space="preserve">coordinata </w:t>
      </w:r>
      <w:r w:rsidR="00572E35" w:rsidRPr="00414DD1">
        <w:rPr>
          <w:rFonts w:ascii="Calibri" w:hAnsi="Calibri"/>
          <w:sz w:val="24"/>
          <w:szCs w:val="24"/>
        </w:rPr>
        <w:t>dall’Azienda ULSS 8 Berica.</w:t>
      </w:r>
    </w:p>
    <w:p w:rsidR="00E36ABC" w:rsidRPr="00414DD1" w:rsidRDefault="00E36AB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La chiamata è strutturata come uno screening oncologico, convocando i singoli cittadini, con </w:t>
      </w:r>
      <w:r w:rsidR="00271D6C" w:rsidRPr="00414DD1">
        <w:rPr>
          <w:rFonts w:ascii="Calibri" w:hAnsi="Calibri"/>
          <w:sz w:val="24"/>
          <w:szCs w:val="24"/>
        </w:rPr>
        <w:t xml:space="preserve">chiamata attiva e con </w:t>
      </w:r>
      <w:r w:rsidRPr="00414DD1">
        <w:rPr>
          <w:rFonts w:ascii="Calibri" w:hAnsi="Calibri"/>
          <w:sz w:val="24"/>
          <w:szCs w:val="24"/>
        </w:rPr>
        <w:t xml:space="preserve">periodicità biennale. L’inizio dell’invio degli inviti a partecipare allo screening, che </w:t>
      </w:r>
      <w:r w:rsidR="00572E35" w:rsidRPr="00414DD1">
        <w:rPr>
          <w:rFonts w:ascii="Calibri" w:hAnsi="Calibri"/>
          <w:sz w:val="24"/>
          <w:szCs w:val="24"/>
        </w:rPr>
        <w:t xml:space="preserve">è partito </w:t>
      </w:r>
      <w:r w:rsidRPr="00414DD1">
        <w:rPr>
          <w:rFonts w:ascii="Calibri" w:hAnsi="Calibri"/>
          <w:sz w:val="24"/>
          <w:szCs w:val="24"/>
        </w:rPr>
        <w:t>con i più giovani (14en</w:t>
      </w:r>
      <w:r w:rsidR="0082283A" w:rsidRPr="00414DD1">
        <w:rPr>
          <w:rFonts w:ascii="Calibri" w:hAnsi="Calibri"/>
          <w:sz w:val="24"/>
          <w:szCs w:val="24"/>
        </w:rPr>
        <w:t>ni), è avvenuta a dicembre 2016</w:t>
      </w:r>
      <w:r w:rsidR="00572E35" w:rsidRPr="00414DD1">
        <w:rPr>
          <w:rFonts w:ascii="Calibri" w:hAnsi="Calibri"/>
          <w:sz w:val="24"/>
          <w:szCs w:val="24"/>
        </w:rPr>
        <w:t xml:space="preserve">; lo screening per la popolazione target è completamente </w:t>
      </w:r>
      <w:r w:rsidR="00572E35" w:rsidRPr="00414DD1">
        <w:rPr>
          <w:rFonts w:ascii="Calibri" w:hAnsi="Calibri"/>
          <w:b/>
          <w:sz w:val="24"/>
          <w:szCs w:val="24"/>
        </w:rPr>
        <w:t>gratuito</w:t>
      </w:r>
      <w:r w:rsidR="00572E35" w:rsidRPr="00414DD1">
        <w:rPr>
          <w:rFonts w:ascii="Calibri" w:hAnsi="Calibri"/>
          <w:sz w:val="24"/>
          <w:szCs w:val="24"/>
        </w:rPr>
        <w:t>.</w:t>
      </w:r>
    </w:p>
    <w:p w:rsidR="00B90B4B" w:rsidRPr="00414DD1" w:rsidRDefault="00B90B4B" w:rsidP="00E36ABC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36ABC" w:rsidRPr="00414DD1" w:rsidRDefault="00E36ABC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La scelta di iniziare con i più giovani è</w:t>
      </w:r>
      <w:r w:rsidR="00572E35" w:rsidRPr="00414DD1">
        <w:rPr>
          <w:rFonts w:ascii="Calibri" w:hAnsi="Calibri"/>
          <w:sz w:val="24"/>
          <w:szCs w:val="24"/>
        </w:rPr>
        <w:t xml:space="preserve"> stata</w:t>
      </w:r>
      <w:r w:rsidRPr="00414DD1">
        <w:rPr>
          <w:rFonts w:ascii="Calibri" w:hAnsi="Calibri"/>
          <w:sz w:val="24"/>
          <w:szCs w:val="24"/>
        </w:rPr>
        <w:t xml:space="preserve"> dettata dal fatto che l’eventuale alta concentrazione di PFA</w:t>
      </w:r>
      <w:r w:rsidR="001C7AD1" w:rsidRPr="00414DD1">
        <w:rPr>
          <w:rFonts w:ascii="Calibri" w:hAnsi="Calibri"/>
          <w:sz w:val="24"/>
          <w:szCs w:val="24"/>
        </w:rPr>
        <w:t>s</w:t>
      </w:r>
      <w:r w:rsidRPr="00414DD1">
        <w:rPr>
          <w:rFonts w:ascii="Calibri" w:hAnsi="Calibri"/>
          <w:sz w:val="24"/>
          <w:szCs w:val="24"/>
        </w:rPr>
        <w:t xml:space="preserve"> e/o di rilevanti alterazioni metaboliche in tali soggetti potrebbe rappresentare motivo utile ad approfondimenti in termini di coorti interessate e di correlazione sanitaria all’esposi</w:t>
      </w:r>
      <w:r w:rsidR="001C7AD1" w:rsidRPr="00414DD1">
        <w:rPr>
          <w:rFonts w:ascii="Calibri" w:hAnsi="Calibri"/>
          <w:sz w:val="24"/>
          <w:szCs w:val="24"/>
        </w:rPr>
        <w:t xml:space="preserve">zione alle sostanze in oggetto, </w:t>
      </w:r>
      <w:r w:rsidRPr="00414DD1">
        <w:rPr>
          <w:rFonts w:ascii="Calibri" w:hAnsi="Calibri"/>
          <w:sz w:val="24"/>
          <w:szCs w:val="24"/>
        </w:rPr>
        <w:t>in quanto gli scorretti stili di vita risultano meno associati ai soggetti appartenenti alle coorti più giovani (14-15enni).</w:t>
      </w:r>
    </w:p>
    <w:p w:rsidR="0082283A" w:rsidRPr="00414DD1" w:rsidRDefault="0082283A" w:rsidP="00E36ABC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La Regione del Veneto si è</w:t>
      </w:r>
      <w:r w:rsidR="00572E35" w:rsidRPr="00414DD1">
        <w:rPr>
          <w:rFonts w:ascii="Calibri" w:hAnsi="Calibri"/>
          <w:sz w:val="24"/>
          <w:szCs w:val="24"/>
        </w:rPr>
        <w:t xml:space="preserve"> inoltre</w:t>
      </w:r>
      <w:r w:rsidRPr="00414DD1">
        <w:rPr>
          <w:rFonts w:ascii="Calibri" w:hAnsi="Calibri"/>
          <w:sz w:val="24"/>
          <w:szCs w:val="24"/>
        </w:rPr>
        <w:t xml:space="preserve"> fornita di un Sistema Informativo Regionale Screening PFA</w:t>
      </w:r>
      <w:r w:rsidR="007C4A88" w:rsidRPr="00414DD1">
        <w:rPr>
          <w:rFonts w:ascii="Calibri" w:hAnsi="Calibri"/>
          <w:sz w:val="24"/>
          <w:szCs w:val="24"/>
        </w:rPr>
        <w:t>s</w:t>
      </w:r>
      <w:r w:rsidRPr="00414DD1">
        <w:rPr>
          <w:rFonts w:ascii="Calibri" w:hAnsi="Calibri"/>
          <w:sz w:val="24"/>
          <w:szCs w:val="24"/>
        </w:rPr>
        <w:t xml:space="preserve"> con il quale ottimizzare tutto il processo dell’indagine dagli inviti alla registrazione dei referti agli invii dei risultati ed alla elaborazione degli indicatori di salute più rappresentativi.</w:t>
      </w:r>
    </w:p>
    <w:p w:rsidR="0082283A" w:rsidRPr="00414DD1" w:rsidRDefault="0082283A" w:rsidP="0082283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Per le donne in gravidanza e per i lavoratori dell’azienda produttrice di queste sostanze verrà avviato un piano di sorveglianza ad hoc.</w:t>
      </w:r>
    </w:p>
    <w:p w:rsidR="00572E35" w:rsidRPr="00414DD1" w:rsidRDefault="00572E35" w:rsidP="0082283A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82283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lastRenderedPageBreak/>
        <w:t>Lo screening prevede:</w:t>
      </w:r>
    </w:p>
    <w:p w:rsidR="0082283A" w:rsidRPr="00414DD1" w:rsidRDefault="0082283A" w:rsidP="00572E35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>un’intervista per individuare abitudini di vita non salutari e informazioni e consigli su come proteggere la propria salute;</w:t>
      </w:r>
    </w:p>
    <w:p w:rsidR="0082283A" w:rsidRPr="00414DD1" w:rsidRDefault="0082283A" w:rsidP="00572E35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>misurazione della pressione arteriosa;</w:t>
      </w:r>
    </w:p>
    <w:p w:rsidR="0082283A" w:rsidRPr="00414DD1" w:rsidRDefault="0082283A" w:rsidP="00572E35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>alcuni semplici esami del sangue e delle urine per valutare lo stato di salute di fegato, reni e tiroide e l’eventuale presenza di alterazioni del metabolismo dei grassi e degli zuccheri;</w:t>
      </w:r>
    </w:p>
    <w:p w:rsidR="0082283A" w:rsidRPr="00414DD1" w:rsidRDefault="0082283A" w:rsidP="00572E35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 xml:space="preserve">il </w:t>
      </w:r>
      <w:r w:rsidR="007C4A88" w:rsidRPr="00414DD1">
        <w:rPr>
          <w:rFonts w:ascii="Calibri" w:hAnsi="Calibri"/>
        </w:rPr>
        <w:t>dosaggio di dodici sostanze PFAs</w:t>
      </w:r>
      <w:r w:rsidRPr="00414DD1">
        <w:rPr>
          <w:rFonts w:ascii="Calibri" w:hAnsi="Calibri"/>
        </w:rPr>
        <w:t xml:space="preserve"> nel siero.</w:t>
      </w:r>
    </w:p>
    <w:p w:rsidR="00572E35" w:rsidRPr="00414DD1" w:rsidRDefault="00572E35" w:rsidP="0082283A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82283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Se dai risultati dello screening di I livello emerge che:</w:t>
      </w:r>
    </w:p>
    <w:p w:rsidR="0082283A" w:rsidRPr="00414DD1" w:rsidRDefault="0082283A" w:rsidP="0082283A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414DD1">
        <w:rPr>
          <w:rFonts w:ascii="Calibri" w:hAnsi="Calibri"/>
        </w:rPr>
        <w:t>i PFAS e gli esami ematochimici sono nella norma, il soggetto viene richiamato per un successivo screening dopo 24 mesi;</w:t>
      </w:r>
    </w:p>
    <w:p w:rsidR="0082283A" w:rsidRPr="00414DD1" w:rsidRDefault="0082283A" w:rsidP="0082283A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414DD1">
        <w:rPr>
          <w:rFonts w:ascii="Calibri" w:hAnsi="Calibri"/>
          <w:color w:val="000000"/>
        </w:rPr>
        <w:t xml:space="preserve">i PFAS sono elevati, il soggetto può usufruire del “trattamento per alte concentrazioni di PFAS” (D.G.R. n. 851/2017), </w:t>
      </w:r>
      <w:r w:rsidR="007C4A88" w:rsidRPr="00414DD1">
        <w:rPr>
          <w:rFonts w:ascii="Calibri" w:hAnsi="Calibri"/>
          <w:color w:val="000000"/>
        </w:rPr>
        <w:t>che prevede</w:t>
      </w:r>
      <w:r w:rsidR="00A82ABC" w:rsidRPr="00414DD1">
        <w:rPr>
          <w:rFonts w:ascii="Calibri" w:hAnsi="Calibri"/>
          <w:color w:val="000000"/>
        </w:rPr>
        <w:t xml:space="preserve"> la PLASMAFERESI</w:t>
      </w:r>
      <w:r w:rsidR="00DE47AD" w:rsidRPr="00414DD1">
        <w:rPr>
          <w:rFonts w:ascii="Calibri" w:hAnsi="Calibri"/>
          <w:color w:val="000000"/>
        </w:rPr>
        <w:t xml:space="preserve"> o lo SCAMBIO PLASMATICO</w:t>
      </w:r>
      <w:r w:rsidR="007C4A88" w:rsidRPr="00414DD1">
        <w:rPr>
          <w:rFonts w:ascii="Calibri" w:hAnsi="Calibri"/>
          <w:color w:val="000000"/>
        </w:rPr>
        <w:t xml:space="preserve"> come possibili trattamenti per ridurre le concentrazioni di queste sostanze</w:t>
      </w:r>
      <w:r w:rsidRPr="00414DD1">
        <w:rPr>
          <w:rFonts w:ascii="Calibri" w:hAnsi="Calibri"/>
          <w:color w:val="000000"/>
        </w:rPr>
        <w:t>;</w:t>
      </w:r>
    </w:p>
    <w:p w:rsidR="0082283A" w:rsidRPr="00414DD1" w:rsidRDefault="0082283A" w:rsidP="0082283A">
      <w:pPr>
        <w:pStyle w:val="Paragrafoelenco"/>
        <w:widowControl w:val="0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414DD1">
        <w:rPr>
          <w:rFonts w:ascii="Calibri" w:hAnsi="Calibri"/>
          <w:color w:val="000000"/>
        </w:rPr>
        <w:t>i PFAS e gli esami ematochimici sono alterati, il soggetto viene preso in carico per lo SCREENING DI II LIVELLO (D.G.R. n. 851/2017).</w:t>
      </w:r>
    </w:p>
    <w:p w:rsidR="00E36ABC" w:rsidRPr="00414DD1" w:rsidRDefault="00E36ABC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72E35" w:rsidRPr="00414DD1" w:rsidRDefault="00DE47AD" w:rsidP="006F6F1E">
      <w:pPr>
        <w:widowControl w:val="0"/>
        <w:jc w:val="both"/>
        <w:outlineLvl w:val="0"/>
        <w:rPr>
          <w:rFonts w:ascii="Calibri" w:hAnsi="Calibri"/>
          <w:b/>
          <w:sz w:val="24"/>
          <w:szCs w:val="24"/>
        </w:rPr>
      </w:pPr>
      <w:r w:rsidRPr="00414DD1">
        <w:rPr>
          <w:rFonts w:ascii="Calibri" w:hAnsi="Calibri"/>
          <w:b/>
          <w:sz w:val="24"/>
          <w:szCs w:val="24"/>
        </w:rPr>
        <w:t>La P</w:t>
      </w:r>
      <w:r w:rsidR="00572E35" w:rsidRPr="00414DD1">
        <w:rPr>
          <w:rFonts w:ascii="Calibri" w:hAnsi="Calibri"/>
          <w:b/>
          <w:sz w:val="24"/>
          <w:szCs w:val="24"/>
        </w:rPr>
        <w:t>lasmaferesi</w:t>
      </w:r>
      <w:r w:rsidRPr="00414DD1">
        <w:rPr>
          <w:rFonts w:ascii="Calibri" w:hAnsi="Calibri"/>
          <w:b/>
          <w:sz w:val="24"/>
          <w:szCs w:val="24"/>
        </w:rPr>
        <w:t xml:space="preserve"> e lo Scambio plasmatico</w:t>
      </w:r>
      <w:r w:rsidR="00572E35" w:rsidRPr="00414DD1">
        <w:rPr>
          <w:rFonts w:ascii="Calibri" w:hAnsi="Calibri"/>
          <w:b/>
          <w:sz w:val="24"/>
          <w:szCs w:val="24"/>
        </w:rPr>
        <w:t>.</w:t>
      </w:r>
    </w:p>
    <w:p w:rsidR="00572E35" w:rsidRPr="00414DD1" w:rsidRDefault="00572E35" w:rsidP="00780850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D0484" w:rsidRPr="00414DD1" w:rsidRDefault="008D0484" w:rsidP="00572E35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E’ un dato certo che </w:t>
      </w:r>
      <w:r w:rsidR="00E13258" w:rsidRPr="00414DD1">
        <w:rPr>
          <w:rFonts w:ascii="Calibri" w:hAnsi="Calibri"/>
          <w:sz w:val="24"/>
          <w:szCs w:val="24"/>
        </w:rPr>
        <w:t xml:space="preserve">nei soggetti dell’area di massimo impatto sanitario </w:t>
      </w:r>
      <w:r w:rsidRPr="00414DD1">
        <w:rPr>
          <w:rFonts w:ascii="Calibri" w:hAnsi="Calibri"/>
          <w:sz w:val="24"/>
          <w:szCs w:val="24"/>
        </w:rPr>
        <w:t xml:space="preserve">PFOA e PFOS sono presenti nel sangue circolante, in forma legata alle proteine e in particolare all’albumina. Tale condizione costituisce il razionale di intervento con tecniche di </w:t>
      </w:r>
      <w:r w:rsidR="0070198C" w:rsidRPr="00414DD1">
        <w:rPr>
          <w:rFonts w:ascii="Calibri" w:hAnsi="Calibri"/>
          <w:sz w:val="24"/>
          <w:szCs w:val="24"/>
        </w:rPr>
        <w:t xml:space="preserve">sola </w:t>
      </w:r>
      <w:r w:rsidRPr="00414DD1">
        <w:rPr>
          <w:rFonts w:ascii="Calibri" w:hAnsi="Calibri"/>
          <w:sz w:val="24"/>
          <w:szCs w:val="24"/>
        </w:rPr>
        <w:t>rimozione o di scambio del plasma per  abbassare il livello di PFAs nei soggetti con valori ematici particolarmente elevati.</w:t>
      </w:r>
    </w:p>
    <w:p w:rsidR="00565EEA" w:rsidRPr="00414DD1" w:rsidRDefault="00565EEA" w:rsidP="00572E3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65EEA" w:rsidRPr="00414DD1" w:rsidRDefault="00565EEA" w:rsidP="00565EE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La </w:t>
      </w:r>
      <w:r w:rsidRPr="00414DD1">
        <w:rPr>
          <w:rFonts w:ascii="Calibri" w:hAnsi="Calibri"/>
          <w:b/>
          <w:sz w:val="24"/>
          <w:szCs w:val="24"/>
        </w:rPr>
        <w:t>Plasmaferesi</w:t>
      </w:r>
      <w:r w:rsidRPr="00414DD1">
        <w:rPr>
          <w:rFonts w:ascii="Calibri" w:hAnsi="Calibri"/>
          <w:sz w:val="24"/>
          <w:szCs w:val="24"/>
        </w:rPr>
        <w:t xml:space="preserve"> è una procedura che consiste nella rimozione del plasma senza necessità di sostituzione per il basso volume sottratto. Essa viene utilizzata routinariamente nei donatori a scopo produttivo con un volume massimo di raccolta previsto dalla Legge Italiana (D.M. 02/11/2015) di 12 litri/anno (con intervallo minimo tra 2 plasmaferesi di 14 giorni). In Italia vengono effettuate più di 400.000 procedure di plasmaferesi per anno (in Veneto 54.000 procedure nel 2016).</w:t>
      </w:r>
    </w:p>
    <w:p w:rsidR="00565EEA" w:rsidRPr="00414DD1" w:rsidRDefault="00565EEA" w:rsidP="00565EEA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65EEA" w:rsidRPr="00414DD1" w:rsidRDefault="00565EEA" w:rsidP="00565EE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Lo </w:t>
      </w:r>
      <w:r w:rsidRPr="00414DD1">
        <w:rPr>
          <w:rFonts w:ascii="Calibri" w:hAnsi="Calibri"/>
          <w:b/>
          <w:sz w:val="24"/>
          <w:szCs w:val="24"/>
        </w:rPr>
        <w:t>Scambio plasmatico (Pex)</w:t>
      </w:r>
      <w:r w:rsidRPr="00414DD1">
        <w:rPr>
          <w:rFonts w:ascii="Calibri" w:hAnsi="Calibri"/>
          <w:sz w:val="24"/>
          <w:szCs w:val="24"/>
        </w:rPr>
        <w:t>, consiste invece nella rimozione di elevati volumi di plasma con sostituzione di equivalente volume di soluzione di sostituzione (fisiologica albuminata 4%) ed è una procedura utilizzata a scopo terapeutico. In Italia ogni anno vengono effettuate oltre 27.000 aferesi terapeutiche, di cui il 15% Pex (in Veneto 4.025 aferesi terapeutiche, delle quali 2.212 Pex nel 2016).</w:t>
      </w:r>
    </w:p>
    <w:p w:rsidR="00565EEA" w:rsidRPr="00414DD1" w:rsidRDefault="00565EEA" w:rsidP="00572E3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D0484" w:rsidRPr="00414DD1" w:rsidRDefault="008D0484" w:rsidP="00572E35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Le linee guida della Società Americana di Aferesi (ASFA 2016)</w:t>
      </w:r>
      <w:r w:rsidRPr="00414DD1">
        <w:rPr>
          <w:rFonts w:ascii="Calibri" w:hAnsi="Calibri"/>
          <w:sz w:val="24"/>
          <w:szCs w:val="24"/>
          <w:vertAlign w:val="superscript"/>
        </w:rPr>
        <w:footnoteReference w:id="1"/>
      </w:r>
      <w:r w:rsidR="0070198C" w:rsidRPr="00414DD1">
        <w:rPr>
          <w:rFonts w:ascii="Calibri" w:hAnsi="Calibri"/>
          <w:sz w:val="24"/>
          <w:szCs w:val="24"/>
        </w:rPr>
        <w:t xml:space="preserve"> prevedono l’utilizzo dello S</w:t>
      </w:r>
      <w:r w:rsidRPr="00414DD1">
        <w:rPr>
          <w:rFonts w:ascii="Calibri" w:hAnsi="Calibri"/>
          <w:sz w:val="24"/>
          <w:szCs w:val="24"/>
        </w:rPr>
        <w:t xml:space="preserve">cambio plasmatico nel trattamento di avvelenamento da funghi o da sostanze chimiche o da farmaci che si leghino a proteine plasmatiche: il grado di evidenza e la forza della raccomandazione, Cat. II-III, 2C, sono ovviamente bassi, in quanto tali situazioni per motivi etici non si prestano a studi randomizzati e controllati, unico strumento per raggiungere evidenze superiori. </w:t>
      </w:r>
    </w:p>
    <w:p w:rsidR="008D0484" w:rsidRPr="00414DD1" w:rsidRDefault="008D0484" w:rsidP="00082688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Come già detto, PFOA e PFOS non sono specificamente citati tra le sostanze tossiche suscettibili di rimozione e d’altra parte nessuna sostanza è citata</w:t>
      </w:r>
      <w:r w:rsidR="0070198C" w:rsidRPr="00414DD1">
        <w:rPr>
          <w:rFonts w:ascii="Calibri" w:hAnsi="Calibri"/>
          <w:sz w:val="24"/>
          <w:szCs w:val="24"/>
        </w:rPr>
        <w:t>;</w:t>
      </w:r>
      <w:r w:rsidRPr="00414DD1">
        <w:rPr>
          <w:rFonts w:ascii="Calibri" w:hAnsi="Calibri"/>
          <w:sz w:val="24"/>
          <w:szCs w:val="24"/>
        </w:rPr>
        <w:t xml:space="preserve"> peraltro i casi di contaminazione da sostanze perfluoroalchiliche sono stati </w:t>
      </w:r>
      <w:r w:rsidR="00082688" w:rsidRPr="00414DD1">
        <w:rPr>
          <w:rFonts w:ascii="Calibri" w:hAnsi="Calibri"/>
          <w:sz w:val="24"/>
          <w:szCs w:val="24"/>
        </w:rPr>
        <w:t>finora un numero limitato</w:t>
      </w:r>
      <w:r w:rsidRPr="00414DD1">
        <w:rPr>
          <w:rFonts w:ascii="Calibri" w:hAnsi="Calibri"/>
          <w:sz w:val="24"/>
          <w:szCs w:val="24"/>
        </w:rPr>
        <w:t xml:space="preserve">. </w:t>
      </w:r>
    </w:p>
    <w:p w:rsidR="00FC1031" w:rsidRPr="00414DD1" w:rsidRDefault="00FC1031" w:rsidP="001569A7">
      <w:pPr>
        <w:widowControl w:val="0"/>
        <w:jc w:val="both"/>
        <w:rPr>
          <w:rFonts w:ascii="Calibri" w:hAnsi="Calibri"/>
          <w:sz w:val="24"/>
          <w:szCs w:val="24"/>
        </w:rPr>
      </w:pPr>
    </w:p>
    <w:p w:rsidR="00FC1031" w:rsidRPr="00414DD1" w:rsidRDefault="00FC1031" w:rsidP="001569A7">
      <w:pPr>
        <w:widowControl w:val="0"/>
        <w:jc w:val="both"/>
        <w:rPr>
          <w:rFonts w:ascii="Calibri" w:hAnsi="Calibri"/>
          <w:sz w:val="24"/>
          <w:szCs w:val="24"/>
        </w:rPr>
      </w:pPr>
    </w:p>
    <w:p w:rsidR="00FC1031" w:rsidRPr="00414DD1" w:rsidRDefault="001569A7" w:rsidP="001569A7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Non possono esistere evidenze scientifiche circa l’efficacia della plasmaferesi sulla rimozione delle sostanze PFAs, in quanto in letteratura non è presente una offerta di presa in carico sanitario dei </w:t>
      </w:r>
      <w:r w:rsidRPr="00414DD1">
        <w:rPr>
          <w:rFonts w:ascii="Calibri" w:hAnsi="Calibri"/>
          <w:sz w:val="24"/>
          <w:szCs w:val="24"/>
        </w:rPr>
        <w:lastRenderedPageBreak/>
        <w:t xml:space="preserve">soggetti esposti con un secondo livello come quello avviato nella Regione Veneto, che ha una situazione di contaminazione e di bioaccumulo nelle persone esposte tra le più alte al mondo.  </w:t>
      </w:r>
    </w:p>
    <w:p w:rsidR="00FC1031" w:rsidRPr="00414DD1" w:rsidRDefault="00FC1031" w:rsidP="001569A7">
      <w:pPr>
        <w:widowControl w:val="0"/>
        <w:jc w:val="both"/>
        <w:rPr>
          <w:rFonts w:ascii="Calibri" w:hAnsi="Calibri"/>
          <w:sz w:val="24"/>
          <w:szCs w:val="24"/>
        </w:rPr>
      </w:pPr>
    </w:p>
    <w:p w:rsidR="001569A7" w:rsidRPr="00414DD1" w:rsidRDefault="001569A7" w:rsidP="001569A7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L’unica segnalazione, presente in letteratura, è relativa a un nucleo familiare particolarmente esposto all’assunzione di tali sostanze e sottoposto a salassoterapia: in queste persone i tempi di eliminazione delle sostanze si sono dimostrati notevolmente ridotti rispetto al rimanente della popolazione esposta, non trattata (</w:t>
      </w:r>
      <w:hyperlink r:id="rId9" w:history="1">
        <w:r w:rsidRPr="00414DD1">
          <w:rPr>
            <w:rFonts w:ascii="Calibri" w:hAnsi="Calibri"/>
            <w:sz w:val="24"/>
            <w:szCs w:val="24"/>
          </w:rPr>
          <w:t>Phlebotomy treatment for elimination of perfluoroalkyl acids in a highly exposed family: a retrospective case-series.</w:t>
        </w:r>
      </w:hyperlink>
      <w:r w:rsidRPr="00414DD1">
        <w:rPr>
          <w:rFonts w:ascii="Calibri" w:hAnsi="Calibri"/>
          <w:sz w:val="24"/>
          <w:szCs w:val="24"/>
        </w:rPr>
        <w:t xml:space="preserve"> Genuis SJ, et al.PLoS One. 2014). Ovviamente il limite della salasso terapia è dato dalla piccola quantità di plasma sottratto ad ogni salasso e dalla necessità di limitare il numero delle procedure per evitare l’anemizzazione dei soggetti. Nelle procedure di salasso terapia, posto un ematocrito di 45%, la quantità di plasma sottratto a fronte di un salasso di 450 ml è pari a circa 250 ml; nelle procedure di plasmaferesi, per soggetti di peso superiore a 50 kg, secondo quanto previsto dalle normative che regolano la donazione di sangue ed emocomponenti (D.M. 02/11/2015), è possibile sottrarre fino a 600 ml di plasma ad ogni procedura e tali procedure possono essere ripetute a distanza di 14 giorni per un volume massimo annuale pari a 12 L. Anche nelle procedure di scambio plasmatico il volume sottratto e, in questo caso, sostituito, varia a seconda del peso e dell’ematocrito del soggetto: in un adulto con parametri medi normali (65 Kg di peso corporeo, 45% di ematocrito) il volume plasmatico è pari a 2300 mL: ad ogni procedura viene rimosso l’ 80% del plasma circolante (1850 mL), determinando, per il fattore diluizione, uno scambio effettivo pari al 55% del volume plasmatico.</w:t>
      </w:r>
    </w:p>
    <w:p w:rsidR="001569A7" w:rsidRPr="00414DD1" w:rsidRDefault="001569A7" w:rsidP="00082688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D0484" w:rsidRPr="00414DD1" w:rsidRDefault="008D0484" w:rsidP="00572E3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65EEA" w:rsidRPr="00414DD1" w:rsidRDefault="00191ACB" w:rsidP="00565EE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In base a quanto detto finora,</w:t>
      </w:r>
      <w:r w:rsidR="00565EEA" w:rsidRPr="00414DD1">
        <w:rPr>
          <w:rFonts w:ascii="Calibri" w:hAnsi="Calibri"/>
          <w:sz w:val="24"/>
          <w:szCs w:val="24"/>
        </w:rPr>
        <w:t xml:space="preserve"> nell’ambito del II livello sono stati previsti quali possibili </w:t>
      </w:r>
      <w:r w:rsidR="00565EEA" w:rsidRPr="00414DD1">
        <w:rPr>
          <w:rFonts w:ascii="Calibri" w:hAnsi="Calibri"/>
          <w:sz w:val="24"/>
          <w:szCs w:val="24"/>
          <w:u w:val="single"/>
        </w:rPr>
        <w:t>procedure di riduzione della concentrazione di PFA</w:t>
      </w:r>
      <w:r w:rsidR="001569A7" w:rsidRPr="00414DD1">
        <w:rPr>
          <w:rFonts w:ascii="Calibri" w:hAnsi="Calibri"/>
          <w:sz w:val="24"/>
          <w:szCs w:val="24"/>
          <w:u w:val="single"/>
        </w:rPr>
        <w:t>s</w:t>
      </w:r>
      <w:r w:rsidR="00565EEA" w:rsidRPr="00414DD1">
        <w:rPr>
          <w:rFonts w:ascii="Calibri" w:hAnsi="Calibri"/>
          <w:sz w:val="24"/>
          <w:szCs w:val="24"/>
        </w:rPr>
        <w:t>, a seconda dei livelli di PFOA rilevati allo screening,lo scambio plasmatico o la plasmaferesi.</w:t>
      </w:r>
    </w:p>
    <w:p w:rsidR="00565EEA" w:rsidRPr="00414DD1" w:rsidRDefault="00565EEA" w:rsidP="008D0484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A6CE5" w:rsidRPr="00414DD1" w:rsidRDefault="008D0484" w:rsidP="008D0484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Il programma regionale</w:t>
      </w:r>
      <w:r w:rsidR="0070198C" w:rsidRPr="00414DD1">
        <w:rPr>
          <w:rFonts w:ascii="Calibri" w:hAnsi="Calibri"/>
          <w:sz w:val="24"/>
          <w:szCs w:val="24"/>
        </w:rPr>
        <w:t xml:space="preserve">, al quale l’adesione è </w:t>
      </w:r>
      <w:r w:rsidR="0070198C" w:rsidRPr="00414DD1">
        <w:rPr>
          <w:rFonts w:ascii="Calibri" w:hAnsi="Calibri"/>
          <w:sz w:val="24"/>
          <w:szCs w:val="24"/>
          <w:u w:val="single"/>
        </w:rPr>
        <w:t>su base volontaria</w:t>
      </w:r>
      <w:r w:rsidR="0070198C" w:rsidRPr="00414DD1">
        <w:rPr>
          <w:rFonts w:ascii="Calibri" w:hAnsi="Calibri"/>
          <w:sz w:val="24"/>
          <w:szCs w:val="24"/>
        </w:rPr>
        <w:t>,</w:t>
      </w:r>
      <w:r w:rsidRPr="00414DD1">
        <w:rPr>
          <w:rFonts w:ascii="Calibri" w:hAnsi="Calibri"/>
          <w:sz w:val="24"/>
          <w:szCs w:val="24"/>
        </w:rPr>
        <w:t xml:space="preserve"> è così articolato: </w:t>
      </w:r>
    </w:p>
    <w:p w:rsidR="005A6CE5" w:rsidRPr="00414DD1" w:rsidRDefault="005A6CE5" w:rsidP="008D0484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D0484" w:rsidRPr="00414DD1" w:rsidRDefault="008D0484" w:rsidP="005A6CE5">
      <w:pPr>
        <w:pStyle w:val="Paragrafoelenco"/>
        <w:widowControl w:val="0"/>
        <w:numPr>
          <w:ilvl w:val="0"/>
          <w:numId w:val="10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 xml:space="preserve">i soggetti che presentano valori di PFOA allo screening maggiori di 200 ng/ml sono invitati tramite </w:t>
      </w:r>
      <w:r w:rsidR="005A6CE5" w:rsidRPr="00414DD1">
        <w:rPr>
          <w:rFonts w:ascii="Calibri" w:hAnsi="Calibri"/>
        </w:rPr>
        <w:t>consegna al soggetto</w:t>
      </w:r>
      <w:r w:rsidRPr="00414DD1">
        <w:rPr>
          <w:rFonts w:ascii="Calibri" w:hAnsi="Calibri"/>
        </w:rPr>
        <w:t xml:space="preserve"> di un’informativa a contattare il Centro Trasfusionale di Padova per una valutazione in merito alla procedura di SCAMBIO PLASMATICO. Lo schema di trattamento prevede 3 pro</w:t>
      </w:r>
      <w:r w:rsidR="002E7BEB" w:rsidRPr="00414DD1">
        <w:rPr>
          <w:rFonts w:ascii="Calibri" w:hAnsi="Calibri"/>
        </w:rPr>
        <w:t xml:space="preserve">cedure di scambio plasmatico, 1 </w:t>
      </w:r>
      <w:r w:rsidRPr="00414DD1">
        <w:rPr>
          <w:rFonts w:ascii="Calibri" w:hAnsi="Calibri"/>
        </w:rPr>
        <w:t xml:space="preserve">a settimana. Ad ogni procedura la rimozione di plasma è pari all’80% del volume plasmatico e il liquido rimosso viene sostituito con soluzione fisiologica </w:t>
      </w:r>
      <w:r w:rsidR="00FC1031" w:rsidRPr="00414DD1">
        <w:rPr>
          <w:rFonts w:ascii="Calibri" w:hAnsi="Calibri"/>
        </w:rPr>
        <w:t>più</w:t>
      </w:r>
      <w:r w:rsidRPr="00414DD1">
        <w:rPr>
          <w:rFonts w:ascii="Calibri" w:hAnsi="Calibri"/>
        </w:rPr>
        <w:t xml:space="preserve"> albumina al 4%.</w:t>
      </w:r>
    </w:p>
    <w:p w:rsidR="005A6CE5" w:rsidRPr="00414DD1" w:rsidRDefault="005A6CE5" w:rsidP="008D0484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A6CE5" w:rsidRPr="00414DD1" w:rsidRDefault="008D0484" w:rsidP="0082283A">
      <w:pPr>
        <w:pStyle w:val="Paragrafoelenco"/>
        <w:widowControl w:val="0"/>
        <w:numPr>
          <w:ilvl w:val="0"/>
          <w:numId w:val="10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 xml:space="preserve">I soggetti maggiorenni che presentano valori di PFOA allo screening compresi tra 150 e 200 ng/ml e i soggetti minorenni </w:t>
      </w:r>
      <w:r w:rsidR="005A6CE5" w:rsidRPr="00414DD1">
        <w:rPr>
          <w:rFonts w:ascii="Calibri" w:hAnsi="Calibri"/>
        </w:rPr>
        <w:t>(</w:t>
      </w:r>
      <w:r w:rsidR="002E7BEB" w:rsidRPr="00414DD1">
        <w:rPr>
          <w:rFonts w:ascii="Calibri" w:hAnsi="Calibri"/>
        </w:rPr>
        <w:t xml:space="preserve">nati prima del </w:t>
      </w:r>
      <w:r w:rsidR="006F6F1E" w:rsidRPr="00414DD1">
        <w:rPr>
          <w:rFonts w:ascii="Calibri" w:hAnsi="Calibri"/>
        </w:rPr>
        <w:t>31/12/</w:t>
      </w:r>
      <w:r w:rsidR="005A6CE5" w:rsidRPr="00414DD1">
        <w:rPr>
          <w:rFonts w:ascii="Calibri" w:hAnsi="Calibri"/>
        </w:rPr>
        <w:t xml:space="preserve">2002) </w:t>
      </w:r>
      <w:r w:rsidRPr="00414DD1">
        <w:rPr>
          <w:rFonts w:ascii="Calibri" w:hAnsi="Calibri"/>
        </w:rPr>
        <w:t xml:space="preserve">che presentano valori di PFOA allo screening compresi tra 100 e 200 ng/ml sono invece invitati a contattare il Centro Trasfusionale di Vicenza per una valutazione in merito alla procedura di PLASMAFERESI. Lo schema di trattamento prevede 6 Plasmaferesi, 1 ogni 15 giorni. Ad ogni seduta la rimozione di plasma è pari a 616 ml nei soggetti di peso ≥ 50Kg e proporzionalmente inferiore per peso corporeo minore. </w:t>
      </w:r>
    </w:p>
    <w:p w:rsidR="006F6F1E" w:rsidRPr="00414DD1" w:rsidRDefault="006F6F1E" w:rsidP="006F6F1E">
      <w:pPr>
        <w:pStyle w:val="Paragrafoelenco"/>
        <w:rPr>
          <w:rFonts w:ascii="Calibri" w:hAnsi="Calibri"/>
        </w:rPr>
      </w:pPr>
    </w:p>
    <w:p w:rsidR="006F6F1E" w:rsidRPr="00414DD1" w:rsidRDefault="006F6F1E" w:rsidP="006F6F1E">
      <w:pPr>
        <w:pStyle w:val="Paragrafoelenco"/>
        <w:widowControl w:val="0"/>
        <w:jc w:val="both"/>
        <w:rPr>
          <w:rFonts w:ascii="Calibri" w:hAnsi="Calibri"/>
        </w:rPr>
      </w:pPr>
    </w:p>
    <w:p w:rsidR="005A6CE5" w:rsidRPr="00414DD1" w:rsidRDefault="008D0484" w:rsidP="0082283A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I soggetti trattati sono sottoposti nel corso del trattamento a ripetuti dosaggi plasmatici</w:t>
      </w:r>
      <w:r w:rsidR="006F6F1E" w:rsidRPr="00414DD1">
        <w:rPr>
          <w:rFonts w:ascii="Calibri" w:hAnsi="Calibri"/>
          <w:sz w:val="24"/>
          <w:szCs w:val="24"/>
        </w:rPr>
        <w:t xml:space="preserve"> </w:t>
      </w:r>
      <w:r w:rsidR="00414DD1" w:rsidRPr="00414DD1">
        <w:rPr>
          <w:rFonts w:ascii="Calibri" w:hAnsi="Calibri"/>
          <w:sz w:val="24"/>
          <w:szCs w:val="24"/>
        </w:rPr>
        <w:t>per la determinazione della concentrazione d</w:t>
      </w:r>
      <w:r w:rsidR="006F6F1E" w:rsidRPr="00414DD1">
        <w:rPr>
          <w:rFonts w:ascii="Calibri" w:hAnsi="Calibri"/>
          <w:sz w:val="24"/>
          <w:szCs w:val="24"/>
        </w:rPr>
        <w:t>ei PFAs</w:t>
      </w:r>
      <w:r w:rsidRPr="00414DD1">
        <w:rPr>
          <w:rFonts w:ascii="Calibri" w:hAnsi="Calibri"/>
          <w:sz w:val="24"/>
          <w:szCs w:val="24"/>
        </w:rPr>
        <w:t>.</w:t>
      </w:r>
    </w:p>
    <w:p w:rsidR="00414DD1" w:rsidRPr="00414DD1" w:rsidRDefault="008D0484" w:rsidP="00414DD1">
      <w:pPr>
        <w:pStyle w:val="Paragrafoelenco"/>
        <w:widowControl w:val="0"/>
        <w:numPr>
          <w:ilvl w:val="0"/>
          <w:numId w:val="13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t>Nei soggetti in trattamento con plasmaferesi il dosaggio è eseguito prima di ogni procedura di plasmaferesi</w:t>
      </w:r>
      <w:r w:rsidR="00414DD1" w:rsidRPr="00414DD1">
        <w:rPr>
          <w:rFonts w:ascii="Calibri" w:hAnsi="Calibri"/>
        </w:rPr>
        <w:t>;</w:t>
      </w:r>
      <w:r w:rsidRPr="00414DD1">
        <w:rPr>
          <w:rFonts w:ascii="Calibri" w:hAnsi="Calibri"/>
        </w:rPr>
        <w:t xml:space="preserve"> </w:t>
      </w:r>
    </w:p>
    <w:p w:rsidR="00414DD1" w:rsidRPr="00414DD1" w:rsidRDefault="008D0484" w:rsidP="00414DD1">
      <w:pPr>
        <w:pStyle w:val="Paragrafoelenco"/>
        <w:widowControl w:val="0"/>
        <w:numPr>
          <w:ilvl w:val="0"/>
          <w:numId w:val="13"/>
        </w:numPr>
        <w:jc w:val="both"/>
        <w:rPr>
          <w:rFonts w:ascii="Calibri" w:hAnsi="Calibri"/>
        </w:rPr>
      </w:pPr>
      <w:r w:rsidRPr="00414DD1">
        <w:rPr>
          <w:rFonts w:ascii="Calibri" w:hAnsi="Calibri"/>
        </w:rPr>
        <w:lastRenderedPageBreak/>
        <w:t xml:space="preserve">nei soggetti in trattamento con scambio plasmatico il dosaggio è eseguito prima e dopo ogni procedura. </w:t>
      </w:r>
    </w:p>
    <w:p w:rsidR="00414DD1" w:rsidRPr="00414DD1" w:rsidRDefault="00414DD1" w:rsidP="00414DD1">
      <w:pPr>
        <w:widowControl w:val="0"/>
        <w:jc w:val="both"/>
        <w:rPr>
          <w:rFonts w:ascii="Calibri" w:hAnsi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82283A" w:rsidRPr="00414DD1" w:rsidRDefault="008D0484" w:rsidP="00414DD1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color w:val="auto"/>
          <w:kern w:val="0"/>
          <w:sz w:val="24"/>
          <w:szCs w:val="24"/>
          <w14:ligatures w14:val="none"/>
          <w14:cntxtAlts w14:val="0"/>
        </w:rPr>
        <w:t>Il follow up è previsto a 30 giorni e a 6 mesi dall’ultimo trattamento</w:t>
      </w:r>
      <w:r w:rsidRPr="00414DD1">
        <w:rPr>
          <w:rFonts w:ascii="Calibri" w:hAnsi="Calibri"/>
          <w:sz w:val="24"/>
          <w:szCs w:val="24"/>
        </w:rPr>
        <w:t>.</w:t>
      </w:r>
    </w:p>
    <w:p w:rsidR="00E60555" w:rsidRPr="00414DD1" w:rsidRDefault="00E60555" w:rsidP="00E6055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60555" w:rsidRPr="00414DD1" w:rsidRDefault="00E60555" w:rsidP="00E60555">
      <w:pPr>
        <w:widowControl w:val="0"/>
        <w:jc w:val="both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Il percorso di offerta della plasmaferesi o scambio plasmatico è descritta nella </w:t>
      </w:r>
      <w:r w:rsidRPr="00414DD1">
        <w:rPr>
          <w:rFonts w:ascii="Calibri" w:hAnsi="Calibri"/>
          <w:b/>
          <w:sz w:val="24"/>
          <w:szCs w:val="24"/>
        </w:rPr>
        <w:t>DGR 851 del 13/6/2017</w:t>
      </w:r>
      <w:r w:rsidRPr="00414DD1">
        <w:rPr>
          <w:rFonts w:ascii="Calibri" w:hAnsi="Calibri"/>
          <w:sz w:val="24"/>
          <w:szCs w:val="24"/>
        </w:rPr>
        <w:t>: il documento è stato sottoposto a valutazione del Comitato Etico Regionale che ha espresso parere in merito (allegato2).</w:t>
      </w:r>
    </w:p>
    <w:p w:rsidR="00E60555" w:rsidRPr="00414DD1" w:rsidRDefault="00E60555" w:rsidP="00E60555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60555" w:rsidRPr="00414DD1" w:rsidRDefault="00E60555" w:rsidP="00E60555">
      <w:pPr>
        <w:widowControl w:val="0"/>
        <w:jc w:val="both"/>
        <w:outlineLvl w:val="0"/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>I soggetti di età inferiore a 14 anni non rientrano nel protocollo in oggetto.</w:t>
      </w:r>
    </w:p>
    <w:p w:rsidR="0082283A" w:rsidRPr="00414DD1" w:rsidRDefault="0082283A" w:rsidP="0082283A">
      <w:pPr>
        <w:widowControl w:val="0"/>
        <w:jc w:val="both"/>
        <w:rPr>
          <w:rFonts w:ascii="Calibri" w:hAnsi="Calibri"/>
          <w:sz w:val="24"/>
          <w:szCs w:val="24"/>
        </w:rPr>
      </w:pPr>
    </w:p>
    <w:p w:rsidR="0082283A" w:rsidRPr="00414DD1" w:rsidRDefault="0082283A" w:rsidP="0082283A">
      <w:pPr>
        <w:widowControl w:val="0"/>
        <w:jc w:val="both"/>
        <w:rPr>
          <w:rFonts w:ascii="Calibri" w:hAnsi="Calibri"/>
          <w:sz w:val="24"/>
          <w:szCs w:val="24"/>
          <w:highlight w:val="yellow"/>
        </w:rPr>
      </w:pPr>
    </w:p>
    <w:p w:rsidR="00560140" w:rsidRPr="00414DD1" w:rsidRDefault="00560140" w:rsidP="006F6F1E">
      <w:pPr>
        <w:outlineLvl w:val="0"/>
        <w:rPr>
          <w:rFonts w:asciiTheme="minorHAnsi" w:hAnsiTheme="minorHAnsi"/>
          <w:b/>
          <w:sz w:val="24"/>
          <w:szCs w:val="24"/>
        </w:rPr>
      </w:pPr>
      <w:r w:rsidRPr="00414DD1">
        <w:rPr>
          <w:rFonts w:asciiTheme="minorHAnsi" w:hAnsiTheme="minorHAnsi"/>
          <w:b/>
          <w:sz w:val="24"/>
          <w:szCs w:val="24"/>
        </w:rPr>
        <w:t xml:space="preserve">Analisi preliminare </w:t>
      </w:r>
      <w:r w:rsidR="001F7553" w:rsidRPr="00414DD1">
        <w:rPr>
          <w:rFonts w:asciiTheme="minorHAnsi" w:hAnsiTheme="minorHAnsi"/>
          <w:b/>
          <w:sz w:val="24"/>
          <w:szCs w:val="24"/>
        </w:rPr>
        <w:t>(</w:t>
      </w:r>
      <w:r w:rsidRPr="00414DD1">
        <w:rPr>
          <w:rFonts w:asciiTheme="minorHAnsi" w:hAnsiTheme="minorHAnsi"/>
          <w:b/>
          <w:sz w:val="24"/>
          <w:szCs w:val="24"/>
        </w:rPr>
        <w:t xml:space="preserve">dati </w:t>
      </w:r>
      <w:r w:rsidR="001F7553" w:rsidRPr="00414DD1">
        <w:rPr>
          <w:rFonts w:asciiTheme="minorHAnsi" w:hAnsiTheme="minorHAnsi"/>
          <w:b/>
          <w:sz w:val="24"/>
          <w:szCs w:val="24"/>
        </w:rPr>
        <w:t>aggiornati al</w:t>
      </w:r>
      <w:r w:rsidRPr="00414DD1">
        <w:rPr>
          <w:rFonts w:asciiTheme="minorHAnsi" w:hAnsiTheme="minorHAnsi"/>
          <w:b/>
          <w:sz w:val="24"/>
          <w:szCs w:val="24"/>
        </w:rPr>
        <w:t xml:space="preserve"> </w:t>
      </w:r>
      <w:r w:rsidR="00222A87" w:rsidRPr="00414DD1">
        <w:rPr>
          <w:rFonts w:asciiTheme="minorHAnsi" w:hAnsiTheme="minorHAnsi"/>
          <w:b/>
          <w:sz w:val="24"/>
          <w:szCs w:val="24"/>
        </w:rPr>
        <w:t>14</w:t>
      </w:r>
      <w:r w:rsidRPr="00414DD1">
        <w:rPr>
          <w:rFonts w:asciiTheme="minorHAnsi" w:hAnsiTheme="minorHAnsi"/>
          <w:b/>
          <w:sz w:val="24"/>
          <w:szCs w:val="24"/>
        </w:rPr>
        <w:t>/12/2017</w:t>
      </w:r>
      <w:r w:rsidR="001F7553" w:rsidRPr="00414DD1">
        <w:rPr>
          <w:rFonts w:asciiTheme="minorHAnsi" w:hAnsiTheme="minorHAnsi"/>
          <w:b/>
          <w:sz w:val="24"/>
          <w:szCs w:val="24"/>
        </w:rPr>
        <w:t>)</w:t>
      </w:r>
    </w:p>
    <w:p w:rsidR="001F7553" w:rsidRPr="00414DD1" w:rsidRDefault="001F7553" w:rsidP="006F6F1E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1F7553" w:rsidRPr="00414DD1" w:rsidRDefault="00DB2A92" w:rsidP="006F6F1E">
      <w:pPr>
        <w:outlineLvl w:val="0"/>
        <w:rPr>
          <w:rFonts w:asciiTheme="minorHAnsi" w:hAnsiTheme="minorHAnsi"/>
          <w:b/>
          <w:sz w:val="24"/>
          <w:szCs w:val="24"/>
        </w:rPr>
      </w:pPr>
      <w:r w:rsidRPr="00414DD1">
        <w:rPr>
          <w:rFonts w:asciiTheme="minorHAnsi" w:hAnsiTheme="minorHAnsi"/>
          <w:b/>
          <w:sz w:val="24"/>
          <w:szCs w:val="24"/>
        </w:rPr>
        <w:t>PLASMAFERESI</w:t>
      </w:r>
    </w:p>
    <w:p w:rsidR="00DB2A92" w:rsidRDefault="00DB2A92" w:rsidP="006F6F1E">
      <w:pPr>
        <w:outlineLvl w:val="0"/>
        <w:rPr>
          <w:rFonts w:asciiTheme="minorHAnsi" w:hAnsiTheme="minorHAnsi"/>
          <w:sz w:val="24"/>
          <w:szCs w:val="24"/>
        </w:rPr>
      </w:pPr>
    </w:p>
    <w:p w:rsidR="001F7553" w:rsidRPr="00414DD1" w:rsidRDefault="001F7553" w:rsidP="006F6F1E">
      <w:pPr>
        <w:outlineLvl w:val="0"/>
        <w:rPr>
          <w:rFonts w:asciiTheme="minorHAnsi" w:hAnsiTheme="minorHAnsi"/>
          <w:sz w:val="24"/>
          <w:szCs w:val="24"/>
        </w:rPr>
      </w:pPr>
      <w:r w:rsidRPr="00414DD1">
        <w:rPr>
          <w:rFonts w:asciiTheme="minorHAnsi" w:hAnsiTheme="minorHAnsi"/>
          <w:sz w:val="24"/>
          <w:szCs w:val="24"/>
        </w:rPr>
        <w:t>Sono stati valutati (colloquio e visita preliminare) 111 soggetti, 70 hanno intrapreso ad oggi il trattamento</w:t>
      </w:r>
      <w:r w:rsidR="0038789C" w:rsidRPr="00414DD1">
        <w:rPr>
          <w:rFonts w:asciiTheme="minorHAnsi" w:hAnsiTheme="minorHAnsi"/>
          <w:sz w:val="24"/>
          <w:szCs w:val="24"/>
        </w:rPr>
        <w:t xml:space="preserve"> per un totale di 330 procedure</w:t>
      </w:r>
      <w:r w:rsidRPr="00414DD1">
        <w:rPr>
          <w:rFonts w:asciiTheme="minorHAnsi" w:hAnsiTheme="minorHAnsi"/>
          <w:sz w:val="24"/>
          <w:szCs w:val="24"/>
        </w:rPr>
        <w:t>:</w:t>
      </w:r>
    </w:p>
    <w:p w:rsidR="00414DD1" w:rsidRPr="00414DD1" w:rsidRDefault="00414DD1" w:rsidP="006F6F1E">
      <w:pPr>
        <w:outlineLvl w:val="0"/>
        <w:rPr>
          <w:rFonts w:asciiTheme="minorHAnsi" w:hAnsiTheme="minorHAnsi"/>
          <w:sz w:val="24"/>
          <w:szCs w:val="24"/>
        </w:rPr>
      </w:pPr>
    </w:p>
    <w:p w:rsidR="00414DD1" w:rsidRPr="00414DD1" w:rsidRDefault="001F7553" w:rsidP="00414DD1">
      <w:pPr>
        <w:pStyle w:val="Paragrafoelenco"/>
        <w:numPr>
          <w:ilvl w:val="0"/>
          <w:numId w:val="11"/>
        </w:numPr>
        <w:spacing w:line="360" w:lineRule="auto"/>
        <w:ind w:left="709" w:hanging="283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  <w:b/>
        </w:rPr>
        <w:t>Età:</w:t>
      </w:r>
      <w:r w:rsidRPr="00414DD1">
        <w:rPr>
          <w:rFonts w:asciiTheme="minorHAnsi" w:hAnsiTheme="minorHAnsi"/>
        </w:rPr>
        <w:t xml:space="preserve"> </w:t>
      </w:r>
    </w:p>
    <w:p w:rsidR="001F7553" w:rsidRPr="00414DD1" w:rsidRDefault="001F7553" w:rsidP="004C602E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>28 nati prima del 31/12/1999</w:t>
      </w:r>
      <w:r w:rsidR="0038789C" w:rsidRPr="00414DD1">
        <w:rPr>
          <w:rFonts w:asciiTheme="minorHAnsi" w:hAnsiTheme="minorHAnsi"/>
        </w:rPr>
        <w:t xml:space="preserve"> (maggiorenni</w:t>
      </w:r>
      <w:r w:rsidRPr="00414DD1">
        <w:rPr>
          <w:rFonts w:asciiTheme="minorHAnsi" w:hAnsiTheme="minorHAnsi"/>
        </w:rPr>
        <w:t xml:space="preserve">) </w:t>
      </w:r>
    </w:p>
    <w:p w:rsidR="001F7553" w:rsidRPr="00414DD1" w:rsidRDefault="001F7553" w:rsidP="004C602E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 xml:space="preserve"> 21 nati nell’anno 2000</w:t>
      </w:r>
    </w:p>
    <w:p w:rsidR="001F7553" w:rsidRPr="00414DD1" w:rsidRDefault="001F7553" w:rsidP="004C602E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 xml:space="preserve"> 12 nati nell’anno 2001</w:t>
      </w:r>
    </w:p>
    <w:p w:rsidR="001F7553" w:rsidRPr="00414DD1" w:rsidRDefault="001F7553" w:rsidP="004C602E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 xml:space="preserve">  9 nati nell’anno 2002</w:t>
      </w:r>
    </w:p>
    <w:p w:rsidR="0038789C" w:rsidRPr="00414DD1" w:rsidRDefault="0038789C" w:rsidP="00414DD1">
      <w:pPr>
        <w:pStyle w:val="Paragrafoelenco"/>
        <w:numPr>
          <w:ilvl w:val="0"/>
          <w:numId w:val="11"/>
        </w:numPr>
        <w:spacing w:line="360" w:lineRule="auto"/>
        <w:ind w:left="709" w:hanging="283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  <w:b/>
        </w:rPr>
        <w:t>Sesso</w:t>
      </w:r>
      <w:r w:rsidRPr="00414DD1">
        <w:rPr>
          <w:rFonts w:asciiTheme="minorHAnsi" w:hAnsiTheme="minorHAnsi"/>
        </w:rPr>
        <w:t>: 19 femmine, 51 maschi</w:t>
      </w:r>
    </w:p>
    <w:p w:rsidR="00FF70DC" w:rsidRDefault="001F7553" w:rsidP="00414DD1">
      <w:pPr>
        <w:pStyle w:val="Paragrafoelenco"/>
        <w:numPr>
          <w:ilvl w:val="0"/>
          <w:numId w:val="11"/>
        </w:numPr>
        <w:spacing w:line="360" w:lineRule="auto"/>
        <w:ind w:left="709" w:hanging="283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  <w:b/>
        </w:rPr>
        <w:t>Numero di procedure effettuate</w:t>
      </w:r>
      <w:r w:rsidR="0038789C" w:rsidRPr="00414DD1">
        <w:rPr>
          <w:rFonts w:asciiTheme="minorHAnsi" w:hAnsiTheme="minorHAnsi"/>
          <w:b/>
        </w:rPr>
        <w:t>/soggetto</w:t>
      </w:r>
      <w:r w:rsidR="0038789C" w:rsidRPr="00414DD1">
        <w:rPr>
          <w:rFonts w:asciiTheme="minorHAnsi" w:hAnsiTheme="minorHAnsi"/>
        </w:rPr>
        <w:t xml:space="preserve">: </w:t>
      </w:r>
    </w:p>
    <w:p w:rsidR="001F7553" w:rsidRPr="00414DD1" w:rsidRDefault="0038789C" w:rsidP="00FF70DC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>30 soggetti hanno effettuato 6 procedure</w:t>
      </w:r>
    </w:p>
    <w:p w:rsidR="0038789C" w:rsidRPr="00414DD1" w:rsidRDefault="0038789C" w:rsidP="00FF70DC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>17 soggetti hanno effettuato 5 procedure</w:t>
      </w:r>
    </w:p>
    <w:p w:rsidR="00B93A30" w:rsidRPr="00414DD1" w:rsidRDefault="0038789C" w:rsidP="00FF70DC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 xml:space="preserve"> 9 soggetti hanno effettuato 4 procedure</w:t>
      </w:r>
    </w:p>
    <w:p w:rsidR="0038789C" w:rsidRPr="00414DD1" w:rsidRDefault="00FF70DC" w:rsidP="00FF70DC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8789C" w:rsidRPr="00414DD1">
        <w:rPr>
          <w:rFonts w:asciiTheme="minorHAnsi" w:hAnsiTheme="minorHAnsi"/>
        </w:rPr>
        <w:t>5 soggetti hanno effettuato 3 procedure</w:t>
      </w:r>
    </w:p>
    <w:p w:rsidR="0038789C" w:rsidRPr="00414DD1" w:rsidRDefault="0038789C" w:rsidP="00FF70DC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>5 soggetti hanno effettuato 2 procedure</w:t>
      </w:r>
    </w:p>
    <w:p w:rsidR="0038789C" w:rsidRPr="00414DD1" w:rsidRDefault="0038789C" w:rsidP="00FF70DC">
      <w:pPr>
        <w:pStyle w:val="Paragrafoelenco"/>
        <w:numPr>
          <w:ilvl w:val="1"/>
          <w:numId w:val="11"/>
        </w:numPr>
        <w:spacing w:line="360" w:lineRule="auto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>4 soggetti hanno effettuato 1 procedura</w:t>
      </w:r>
    </w:p>
    <w:p w:rsidR="00414DD1" w:rsidRPr="00414DD1" w:rsidRDefault="00414DD1">
      <w:pPr>
        <w:spacing w:after="200" w:line="276" w:lineRule="auto"/>
        <w:rPr>
          <w:rFonts w:asciiTheme="minorHAnsi" w:hAnsiTheme="minorHAnsi"/>
          <w:color w:val="auto"/>
          <w:kern w:val="0"/>
          <w:sz w:val="24"/>
          <w:szCs w:val="24"/>
        </w:rPr>
      </w:pPr>
      <w:r w:rsidRPr="00414DD1">
        <w:rPr>
          <w:rFonts w:asciiTheme="minorHAnsi" w:hAnsiTheme="minorHAnsi"/>
          <w:color w:val="auto"/>
          <w:kern w:val="0"/>
          <w:sz w:val="24"/>
          <w:szCs w:val="24"/>
        </w:rPr>
        <w:br w:type="page"/>
      </w:r>
    </w:p>
    <w:p w:rsidR="00414DD1" w:rsidRPr="00414DD1" w:rsidRDefault="00414DD1" w:rsidP="00414DD1">
      <w:pPr>
        <w:rPr>
          <w:rFonts w:asciiTheme="minorHAnsi" w:hAnsiTheme="minorHAnsi"/>
          <w:b/>
          <w:sz w:val="24"/>
          <w:szCs w:val="24"/>
        </w:rPr>
      </w:pPr>
      <w:r w:rsidRPr="00414DD1">
        <w:rPr>
          <w:rFonts w:asciiTheme="minorHAnsi" w:hAnsiTheme="minorHAnsi"/>
          <w:b/>
          <w:sz w:val="24"/>
          <w:szCs w:val="24"/>
        </w:rPr>
        <w:lastRenderedPageBreak/>
        <w:t xml:space="preserve">                          Dosaggi PFOA</w:t>
      </w:r>
    </w:p>
    <w:p w:rsidR="00F50282" w:rsidRPr="00414DD1" w:rsidRDefault="00F50282" w:rsidP="0038789C">
      <w:pPr>
        <w:rPr>
          <w:rFonts w:asciiTheme="minorHAnsi" w:hAnsiTheme="minorHAnsi"/>
          <w:color w:val="auto"/>
          <w:kern w:val="0"/>
          <w:sz w:val="24"/>
          <w:szCs w:val="24"/>
        </w:rPr>
      </w:pPr>
    </w:p>
    <w:p w:rsidR="00F50282" w:rsidRPr="00414DD1" w:rsidRDefault="00F50282" w:rsidP="0038789C">
      <w:pPr>
        <w:rPr>
          <w:rFonts w:asciiTheme="minorHAnsi" w:hAnsiTheme="minorHAnsi"/>
          <w:color w:val="auto"/>
          <w:kern w:val="0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992"/>
        <w:gridCol w:w="1559"/>
        <w:gridCol w:w="1418"/>
      </w:tblGrid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893C4A" w:rsidP="00893C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Media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893C4A" w:rsidP="00893C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Mediana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Soggetti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1A4A7C" w:rsidP="00893C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PFOA </w:t>
            </w:r>
            <w:r w:rsidR="00893C4A" w:rsidRPr="00414DD1">
              <w:rPr>
                <w:rFonts w:ascii="Calibri" w:hAnsi="Calibri"/>
                <w:sz w:val="24"/>
                <w:szCs w:val="24"/>
              </w:rPr>
              <w:t>ng/ml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1A4A7C" w:rsidP="00893C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PFOA  </w:t>
            </w:r>
            <w:r w:rsidR="00893C4A" w:rsidRPr="00414DD1">
              <w:rPr>
                <w:rFonts w:ascii="Calibri" w:hAnsi="Calibri"/>
                <w:sz w:val="24"/>
                <w:szCs w:val="24"/>
              </w:rPr>
              <w:t>ng/ml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pfoa_t0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111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893C4A" w:rsidP="00632E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15</w:t>
            </w:r>
            <w:r w:rsidR="00632E66" w:rsidRPr="00414DD1">
              <w:rPr>
                <w:rFonts w:ascii="Calibri" w:hAnsi="Calibri"/>
                <w:sz w:val="24"/>
                <w:szCs w:val="24"/>
              </w:rPr>
              <w:t>3</w:t>
            </w:r>
            <w:r w:rsidRPr="00414DD1">
              <w:rPr>
                <w:rFonts w:ascii="Calibri" w:hAnsi="Calibri"/>
                <w:sz w:val="24"/>
                <w:szCs w:val="24"/>
              </w:rPr>
              <w:t>,</w:t>
            </w:r>
            <w:r w:rsidR="00632E66" w:rsidRPr="00414DD1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893C4A" w:rsidP="00632E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15</w:t>
            </w:r>
            <w:r w:rsidR="00632E66" w:rsidRPr="00414DD1">
              <w:rPr>
                <w:rFonts w:ascii="Calibri" w:hAnsi="Calibri"/>
                <w:sz w:val="24"/>
                <w:szCs w:val="24"/>
              </w:rPr>
              <w:t>7</w:t>
            </w:r>
            <w:r w:rsidRPr="00414DD1">
              <w:rPr>
                <w:rFonts w:ascii="Calibri" w:hAnsi="Calibri"/>
                <w:sz w:val="24"/>
                <w:szCs w:val="24"/>
              </w:rPr>
              <w:t>,</w:t>
            </w:r>
            <w:r w:rsidR="00632E66" w:rsidRPr="00414DD1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pfoa_t1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893C4A" w:rsidP="001A4A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118,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1A4A7C" w:rsidP="008E32E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113</w:t>
            </w:r>
            <w:r w:rsidR="008E32EA" w:rsidRPr="00414DD1">
              <w:rPr>
                <w:rFonts w:ascii="Calibri" w:hAnsi="Calibri"/>
                <w:sz w:val="24"/>
                <w:szCs w:val="24"/>
              </w:rPr>
              <w:t>,</w:t>
            </w:r>
            <w:r w:rsidRPr="00414DD1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pfoa_t2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108,8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10</w:t>
            </w:r>
            <w:r w:rsidR="008E32EA" w:rsidRPr="00414DD1">
              <w:rPr>
                <w:rFonts w:ascii="Calibri" w:hAnsi="Calibri"/>
                <w:sz w:val="24"/>
                <w:szCs w:val="24"/>
              </w:rPr>
              <w:t>3,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8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pfoa_t3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1A4A7C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103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10</w:t>
            </w:r>
            <w:r w:rsidR="008E32EA" w:rsidRPr="00414DD1">
              <w:rPr>
                <w:rFonts w:ascii="Calibri" w:hAnsi="Calibri"/>
                <w:sz w:val="24"/>
                <w:szCs w:val="24"/>
              </w:rPr>
              <w:t>0,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pfoa_t4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893C4A" w:rsidP="001A4A7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94,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893C4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9</w:t>
            </w:r>
            <w:r w:rsidR="008E32EA" w:rsidRPr="00414DD1">
              <w:rPr>
                <w:rFonts w:ascii="Calibri" w:hAnsi="Calibri"/>
                <w:sz w:val="24"/>
                <w:szCs w:val="24"/>
              </w:rPr>
              <w:t>2,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  <w:tr w:rsidR="00893C4A" w:rsidRPr="00414DD1" w:rsidTr="00E23956">
        <w:trPr>
          <w:trHeight w:val="300"/>
        </w:trPr>
        <w:tc>
          <w:tcPr>
            <w:tcW w:w="933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27756B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pfoa_t5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3C4A" w:rsidRPr="00414DD1" w:rsidRDefault="00893C4A" w:rsidP="00893C4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bottom"/>
            <w:hideMark/>
          </w:tcPr>
          <w:p w:rsidR="00893C4A" w:rsidRPr="00414DD1" w:rsidRDefault="008E32E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70,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  <w:hideMark/>
          </w:tcPr>
          <w:p w:rsidR="00893C4A" w:rsidRPr="00414DD1" w:rsidRDefault="008E32EA" w:rsidP="00E96B5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67,</w:t>
            </w:r>
            <w:r w:rsidR="001A4A7C" w:rsidRPr="00414DD1">
              <w:rPr>
                <w:rFonts w:ascii="Calibri" w:hAnsi="Calibri"/>
                <w:sz w:val="24"/>
                <w:szCs w:val="24"/>
              </w:rPr>
              <w:t>5</w:t>
            </w:r>
          </w:p>
        </w:tc>
      </w:tr>
    </w:tbl>
    <w:p w:rsidR="00E23956" w:rsidRDefault="00E23956" w:rsidP="00E23956">
      <w:pPr>
        <w:pStyle w:val="Paragrafoelenco"/>
        <w:spacing w:line="276" w:lineRule="auto"/>
        <w:ind w:left="142"/>
        <w:rPr>
          <w:rFonts w:asciiTheme="minorHAnsi" w:hAnsiTheme="minorHAnsi"/>
          <w:sz w:val="22"/>
          <w:szCs w:val="22"/>
        </w:rPr>
      </w:pPr>
    </w:p>
    <w:p w:rsidR="00560140" w:rsidRPr="00E23956" w:rsidRDefault="00560140" w:rsidP="00560140">
      <w:pPr>
        <w:pStyle w:val="Paragrafoelenco"/>
        <w:numPr>
          <w:ilvl w:val="0"/>
          <w:numId w:val="7"/>
        </w:numPr>
        <w:spacing w:line="276" w:lineRule="auto"/>
        <w:ind w:left="142" w:hanging="142"/>
        <w:rPr>
          <w:rFonts w:asciiTheme="minorHAnsi" w:hAnsiTheme="minorHAnsi"/>
          <w:sz w:val="22"/>
          <w:szCs w:val="22"/>
        </w:rPr>
      </w:pPr>
      <w:r w:rsidRPr="00E23956">
        <w:rPr>
          <w:rFonts w:asciiTheme="minorHAnsi" w:hAnsiTheme="minorHAnsi"/>
          <w:sz w:val="22"/>
          <w:szCs w:val="22"/>
        </w:rPr>
        <w:t xml:space="preserve">t0: valore rilevato </w:t>
      </w:r>
      <w:r w:rsidR="00A7564B" w:rsidRPr="00E23956">
        <w:rPr>
          <w:rFonts w:asciiTheme="minorHAnsi" w:hAnsiTheme="minorHAnsi"/>
          <w:sz w:val="22"/>
          <w:szCs w:val="22"/>
        </w:rPr>
        <w:t>allo</w:t>
      </w:r>
      <w:r w:rsidRPr="00E23956">
        <w:rPr>
          <w:rFonts w:asciiTheme="minorHAnsi" w:hAnsiTheme="minorHAnsi"/>
          <w:sz w:val="22"/>
          <w:szCs w:val="22"/>
        </w:rPr>
        <w:t xml:space="preserve"> screening</w:t>
      </w:r>
    </w:p>
    <w:p w:rsidR="00560140" w:rsidRPr="00E23956" w:rsidRDefault="00560140" w:rsidP="00560140">
      <w:pPr>
        <w:pStyle w:val="Paragrafoelenco"/>
        <w:numPr>
          <w:ilvl w:val="0"/>
          <w:numId w:val="7"/>
        </w:numPr>
        <w:spacing w:line="276" w:lineRule="auto"/>
        <w:ind w:left="142" w:hanging="142"/>
        <w:rPr>
          <w:rFonts w:asciiTheme="minorHAnsi" w:hAnsiTheme="minorHAnsi"/>
          <w:sz w:val="22"/>
          <w:szCs w:val="22"/>
        </w:rPr>
      </w:pPr>
      <w:r w:rsidRPr="00E23956">
        <w:rPr>
          <w:rFonts w:asciiTheme="minorHAnsi" w:hAnsiTheme="minorHAnsi"/>
          <w:sz w:val="22"/>
          <w:szCs w:val="22"/>
        </w:rPr>
        <w:t>t1-</w:t>
      </w:r>
      <w:r w:rsidR="00E23956" w:rsidRPr="00E23956">
        <w:rPr>
          <w:rFonts w:asciiTheme="minorHAnsi" w:hAnsiTheme="minorHAnsi"/>
          <w:sz w:val="22"/>
          <w:szCs w:val="22"/>
        </w:rPr>
        <w:t>t5</w:t>
      </w:r>
      <w:r w:rsidRPr="00E23956">
        <w:rPr>
          <w:rFonts w:asciiTheme="minorHAnsi" w:hAnsiTheme="minorHAnsi"/>
          <w:sz w:val="22"/>
          <w:szCs w:val="22"/>
        </w:rPr>
        <w:t xml:space="preserve">: valore rilevato </w:t>
      </w:r>
      <w:r w:rsidRPr="00E23956">
        <w:rPr>
          <w:rFonts w:asciiTheme="minorHAnsi" w:hAnsiTheme="minorHAnsi"/>
          <w:sz w:val="22"/>
          <w:szCs w:val="22"/>
          <w:u w:val="single"/>
        </w:rPr>
        <w:t>prima</w:t>
      </w:r>
      <w:r w:rsidRPr="00E23956">
        <w:rPr>
          <w:rFonts w:asciiTheme="minorHAnsi" w:hAnsiTheme="minorHAnsi"/>
          <w:sz w:val="22"/>
          <w:szCs w:val="22"/>
        </w:rPr>
        <w:t xml:space="preserve"> di </w:t>
      </w:r>
      <w:r w:rsidR="00A7564B" w:rsidRPr="00E23956">
        <w:rPr>
          <w:rFonts w:asciiTheme="minorHAnsi" w:hAnsiTheme="minorHAnsi"/>
          <w:sz w:val="22"/>
          <w:szCs w:val="22"/>
        </w:rPr>
        <w:t xml:space="preserve">ogni procedura </w:t>
      </w:r>
      <w:r w:rsidRPr="00E23956">
        <w:rPr>
          <w:rFonts w:asciiTheme="minorHAnsi" w:hAnsiTheme="minorHAnsi"/>
          <w:sz w:val="22"/>
          <w:szCs w:val="22"/>
        </w:rPr>
        <w:t>di plasmaferesi</w:t>
      </w:r>
    </w:p>
    <w:p w:rsidR="00560140" w:rsidRPr="00E23956" w:rsidRDefault="00560140" w:rsidP="008E32EA">
      <w:pPr>
        <w:pStyle w:val="Paragrafoelenco"/>
        <w:spacing w:line="276" w:lineRule="auto"/>
        <w:ind w:left="142"/>
        <w:rPr>
          <w:rFonts w:asciiTheme="minorHAnsi" w:hAnsiTheme="minorHAnsi"/>
          <w:sz w:val="22"/>
          <w:szCs w:val="22"/>
        </w:rPr>
      </w:pPr>
      <w:r w:rsidRPr="00E23956">
        <w:rPr>
          <w:rFonts w:asciiTheme="minorHAnsi" w:hAnsiTheme="minorHAnsi"/>
          <w:sz w:val="22"/>
          <w:szCs w:val="22"/>
        </w:rPr>
        <w:t>ne consegue che t0-t1 rappresenta la variazione “naturale” e senza intervento, t1-t</w:t>
      </w:r>
      <w:r w:rsidR="00E23956" w:rsidRPr="00E23956">
        <w:rPr>
          <w:rFonts w:asciiTheme="minorHAnsi" w:hAnsiTheme="minorHAnsi"/>
          <w:sz w:val="22"/>
          <w:szCs w:val="22"/>
        </w:rPr>
        <w:t>5</w:t>
      </w:r>
      <w:r w:rsidRPr="00E23956">
        <w:rPr>
          <w:rFonts w:asciiTheme="minorHAnsi" w:hAnsiTheme="minorHAnsi"/>
          <w:sz w:val="22"/>
          <w:szCs w:val="22"/>
        </w:rPr>
        <w:t xml:space="preserve"> rappresenta la variazione dopo un</w:t>
      </w:r>
      <w:r w:rsidR="00A7564B" w:rsidRPr="00E23956">
        <w:rPr>
          <w:rFonts w:asciiTheme="minorHAnsi" w:hAnsiTheme="minorHAnsi"/>
          <w:sz w:val="22"/>
          <w:szCs w:val="22"/>
        </w:rPr>
        <w:t>a</w:t>
      </w:r>
      <w:r w:rsidRPr="00E23956">
        <w:rPr>
          <w:rFonts w:asciiTheme="minorHAnsi" w:hAnsiTheme="minorHAnsi"/>
          <w:sz w:val="22"/>
          <w:szCs w:val="22"/>
        </w:rPr>
        <w:t xml:space="preserve"> </w:t>
      </w:r>
      <w:r w:rsidR="00A7564B" w:rsidRPr="00E23956">
        <w:rPr>
          <w:rFonts w:asciiTheme="minorHAnsi" w:hAnsiTheme="minorHAnsi"/>
          <w:sz w:val="22"/>
          <w:szCs w:val="22"/>
        </w:rPr>
        <w:t>procedura</w:t>
      </w:r>
      <w:r w:rsidR="001F7553" w:rsidRPr="00E23956">
        <w:rPr>
          <w:rFonts w:asciiTheme="minorHAnsi" w:hAnsiTheme="minorHAnsi"/>
          <w:sz w:val="22"/>
          <w:szCs w:val="22"/>
        </w:rPr>
        <w:t>.</w:t>
      </w:r>
    </w:p>
    <w:p w:rsidR="001F7553" w:rsidRPr="00414DD1" w:rsidRDefault="001F7553" w:rsidP="008E32EA">
      <w:pPr>
        <w:pStyle w:val="Paragrafoelenco"/>
        <w:spacing w:line="276" w:lineRule="auto"/>
        <w:ind w:left="142"/>
        <w:rPr>
          <w:rFonts w:asciiTheme="minorHAnsi" w:hAnsiTheme="minorHAnsi"/>
        </w:rPr>
      </w:pPr>
    </w:p>
    <w:tbl>
      <w:tblPr>
        <w:tblpPr w:leftFromText="141" w:rightFromText="141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7"/>
      </w:tblGrid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Calo medio PFOA ng/ml</w:t>
            </w:r>
          </w:p>
        </w:tc>
      </w:tr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t0 </w:t>
            </w:r>
            <w:r w:rsidRPr="00414DD1">
              <w:rPr>
                <w:rFonts w:ascii="Calibri" w:hAnsi="Calibri"/>
                <w:sz w:val="24"/>
                <w:szCs w:val="24"/>
              </w:rPr>
              <w:sym w:font="Wingdings" w:char="F0E0"/>
            </w:r>
            <w:r w:rsidRPr="00414DD1">
              <w:rPr>
                <w:rFonts w:ascii="Calibri" w:hAnsi="Calibri"/>
                <w:sz w:val="24"/>
                <w:szCs w:val="24"/>
              </w:rPr>
              <w:t xml:space="preserve"> t1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E23956" w:rsidRDefault="00DB2A92" w:rsidP="00E23956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E23956">
              <w:rPr>
                <w:rFonts w:ascii="Calibri" w:hAnsi="Calibri"/>
                <w:b/>
                <w:color w:val="FF0000"/>
                <w:sz w:val="24"/>
                <w:szCs w:val="24"/>
              </w:rPr>
              <w:t>31,7</w:t>
            </w:r>
          </w:p>
        </w:tc>
      </w:tr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t1 </w:t>
            </w:r>
            <w:r w:rsidRPr="00414DD1">
              <w:rPr>
                <w:rFonts w:ascii="Calibri" w:hAnsi="Calibri"/>
                <w:sz w:val="24"/>
                <w:szCs w:val="24"/>
              </w:rPr>
              <w:sym w:font="Wingdings" w:char="F0E0"/>
            </w:r>
            <w:r w:rsidRPr="00414DD1">
              <w:rPr>
                <w:rFonts w:ascii="Calibri" w:hAnsi="Calibri"/>
                <w:sz w:val="24"/>
                <w:szCs w:val="24"/>
              </w:rPr>
              <w:t xml:space="preserve"> t2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9,6</w:t>
            </w:r>
          </w:p>
        </w:tc>
      </w:tr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t2 </w:t>
            </w:r>
            <w:r w:rsidRPr="00414DD1">
              <w:rPr>
                <w:rFonts w:ascii="Calibri" w:hAnsi="Calibri"/>
                <w:sz w:val="24"/>
                <w:szCs w:val="24"/>
              </w:rPr>
              <w:sym w:font="Wingdings" w:char="F0E0"/>
            </w:r>
            <w:r w:rsidRPr="00414DD1">
              <w:rPr>
                <w:rFonts w:ascii="Calibri" w:hAnsi="Calibri"/>
                <w:sz w:val="24"/>
                <w:szCs w:val="24"/>
              </w:rPr>
              <w:t xml:space="preserve"> t3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5,8</w:t>
            </w:r>
          </w:p>
        </w:tc>
      </w:tr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t3 </w:t>
            </w:r>
            <w:r w:rsidRPr="00414DD1">
              <w:rPr>
                <w:rFonts w:ascii="Calibri" w:hAnsi="Calibri"/>
                <w:sz w:val="24"/>
                <w:szCs w:val="24"/>
              </w:rPr>
              <w:sym w:font="Wingdings" w:char="F0E0"/>
            </w:r>
            <w:r w:rsidRPr="00414DD1">
              <w:rPr>
                <w:rFonts w:ascii="Calibri" w:hAnsi="Calibri"/>
                <w:sz w:val="24"/>
                <w:szCs w:val="24"/>
              </w:rPr>
              <w:t xml:space="preserve"> t4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8,9</w:t>
            </w:r>
          </w:p>
        </w:tc>
      </w:tr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 xml:space="preserve">t4 </w:t>
            </w:r>
            <w:r w:rsidRPr="00414DD1">
              <w:rPr>
                <w:rFonts w:ascii="Calibri" w:hAnsi="Calibri"/>
                <w:sz w:val="24"/>
                <w:szCs w:val="24"/>
              </w:rPr>
              <w:sym w:font="Wingdings" w:char="F0E0"/>
            </w:r>
            <w:r w:rsidRPr="00414DD1">
              <w:rPr>
                <w:rFonts w:ascii="Calibri" w:hAnsi="Calibri"/>
                <w:sz w:val="24"/>
                <w:szCs w:val="24"/>
              </w:rPr>
              <w:t xml:space="preserve"> t5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14DD1">
              <w:rPr>
                <w:rFonts w:ascii="Calibri" w:hAnsi="Calibri"/>
                <w:sz w:val="24"/>
                <w:szCs w:val="24"/>
              </w:rPr>
              <w:t>23,9</w:t>
            </w:r>
          </w:p>
        </w:tc>
      </w:tr>
      <w:tr w:rsidR="00DB2A92" w:rsidRPr="00414DD1" w:rsidTr="00E2395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414DD1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t1 </w:t>
            </w:r>
            <w:r w:rsidRPr="00414DD1">
              <w:rPr>
                <w:rFonts w:ascii="Calibri" w:hAnsi="Calibri"/>
                <w:b/>
                <w:color w:val="FF0000"/>
                <w:sz w:val="24"/>
                <w:szCs w:val="24"/>
              </w:rPr>
              <w:sym w:font="Wingdings" w:char="F0E0"/>
            </w:r>
            <w:r w:rsidRPr="00414DD1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t5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DB2A92" w:rsidRPr="00414DD1" w:rsidRDefault="00DB2A92" w:rsidP="00E23956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414DD1">
              <w:rPr>
                <w:rFonts w:ascii="Calibri" w:hAnsi="Calibri"/>
                <w:b/>
                <w:color w:val="FF0000"/>
                <w:sz w:val="24"/>
                <w:szCs w:val="24"/>
              </w:rPr>
              <w:t>40,1</w:t>
            </w:r>
          </w:p>
        </w:tc>
      </w:tr>
    </w:tbl>
    <w:p w:rsidR="00560140" w:rsidRDefault="00560140" w:rsidP="00560140">
      <w:pPr>
        <w:pStyle w:val="Paragrafoelenco"/>
        <w:ind w:left="142"/>
      </w:pPr>
    </w:p>
    <w:p w:rsidR="00E23956" w:rsidRDefault="00E23956" w:rsidP="00560140">
      <w:pPr>
        <w:pStyle w:val="Paragrafoelenco"/>
        <w:ind w:left="142"/>
      </w:pPr>
    </w:p>
    <w:p w:rsidR="00E23956" w:rsidRDefault="00E23956" w:rsidP="00560140">
      <w:pPr>
        <w:pStyle w:val="Paragrafoelenco"/>
        <w:ind w:left="142"/>
      </w:pPr>
    </w:p>
    <w:p w:rsidR="00E23956" w:rsidRDefault="00E23956" w:rsidP="00560140">
      <w:pPr>
        <w:pStyle w:val="Paragrafoelenco"/>
        <w:ind w:left="142"/>
      </w:pPr>
    </w:p>
    <w:p w:rsidR="00E23956" w:rsidRDefault="00E23956" w:rsidP="00560140">
      <w:pPr>
        <w:pStyle w:val="Paragrafoelenco"/>
        <w:ind w:left="142"/>
      </w:pPr>
    </w:p>
    <w:p w:rsidR="00E23956" w:rsidRDefault="00E23956" w:rsidP="00560140">
      <w:pPr>
        <w:pStyle w:val="Paragrafoelenco"/>
        <w:ind w:left="142"/>
      </w:pPr>
    </w:p>
    <w:p w:rsidR="00E23956" w:rsidRPr="00FF70DC" w:rsidRDefault="00E23956" w:rsidP="00560140">
      <w:pPr>
        <w:pStyle w:val="Paragrafoelenco"/>
        <w:ind w:left="142"/>
        <w:rPr>
          <w:rFonts w:asciiTheme="minorHAnsi" w:hAnsiTheme="minorHAnsi"/>
          <w:b/>
          <w:color w:val="000000"/>
          <w:kern w:val="28"/>
          <w14:ligatures w14:val="standard"/>
          <w14:cntxtAlts/>
        </w:rPr>
      </w:pPr>
    </w:p>
    <w:p w:rsidR="00E23956" w:rsidRDefault="00E23956" w:rsidP="00560140">
      <w:pPr>
        <w:pStyle w:val="Paragrafoelenco"/>
        <w:ind w:left="142"/>
      </w:pPr>
    </w:p>
    <w:p w:rsidR="00E23956" w:rsidRDefault="00E23956" w:rsidP="00560140">
      <w:pPr>
        <w:pStyle w:val="Paragrafoelenco"/>
        <w:ind w:left="142"/>
      </w:pPr>
    </w:p>
    <w:p w:rsidR="00E23956" w:rsidRPr="00414DD1" w:rsidRDefault="00E23956" w:rsidP="00560140">
      <w:pPr>
        <w:pStyle w:val="Paragrafoelenco"/>
        <w:ind w:left="142"/>
      </w:pPr>
    </w:p>
    <w:p w:rsidR="00E23956" w:rsidRDefault="00FF70DC" w:rsidP="00DA0CA2">
      <w:pPr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Il calo medio dopo quattro procedure pari a 40,1 ng/ml corrisponde al 35% di calo rispetto al valore iniziale.</w:t>
      </w:r>
    </w:p>
    <w:p w:rsidR="00E23956" w:rsidRDefault="00E23956" w:rsidP="00DA0CA2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560140" w:rsidRPr="00414DD1" w:rsidRDefault="00DB2A92" w:rsidP="00DA0CA2">
      <w:pPr>
        <w:outlineLvl w:val="0"/>
        <w:rPr>
          <w:rFonts w:asciiTheme="minorHAnsi" w:hAnsiTheme="minorHAnsi"/>
          <w:b/>
          <w:sz w:val="24"/>
          <w:szCs w:val="24"/>
        </w:rPr>
      </w:pPr>
      <w:r w:rsidRPr="00414DD1">
        <w:rPr>
          <w:rFonts w:asciiTheme="minorHAnsi" w:hAnsiTheme="minorHAnsi"/>
          <w:b/>
          <w:sz w:val="24"/>
          <w:szCs w:val="24"/>
        </w:rPr>
        <w:t>SCAMBIO PLASMATICO</w:t>
      </w:r>
    </w:p>
    <w:p w:rsidR="00560140" w:rsidRPr="00414DD1" w:rsidRDefault="00560140" w:rsidP="00560140">
      <w:pPr>
        <w:rPr>
          <w:sz w:val="24"/>
          <w:szCs w:val="24"/>
        </w:rPr>
      </w:pPr>
    </w:p>
    <w:p w:rsidR="00DA0CA2" w:rsidRPr="00414DD1" w:rsidRDefault="00DA0CA2" w:rsidP="00DA0CA2">
      <w:pPr>
        <w:outlineLvl w:val="0"/>
        <w:rPr>
          <w:rFonts w:asciiTheme="minorHAnsi" w:hAnsiTheme="minorHAnsi"/>
          <w:sz w:val="24"/>
          <w:szCs w:val="24"/>
        </w:rPr>
      </w:pPr>
      <w:r w:rsidRPr="00414DD1">
        <w:rPr>
          <w:rFonts w:asciiTheme="minorHAnsi" w:hAnsiTheme="minorHAnsi"/>
          <w:sz w:val="24"/>
          <w:szCs w:val="24"/>
        </w:rPr>
        <w:t xml:space="preserve">Sono stati valutati (colloquio e visita preliminare) 49 soggetti, 16 hanno </w:t>
      </w:r>
      <w:r w:rsidR="001F37EF" w:rsidRPr="00414DD1">
        <w:rPr>
          <w:rFonts w:asciiTheme="minorHAnsi" w:hAnsiTheme="minorHAnsi"/>
          <w:sz w:val="24"/>
          <w:szCs w:val="24"/>
        </w:rPr>
        <w:t>completato</w:t>
      </w:r>
      <w:r w:rsidRPr="00414DD1">
        <w:rPr>
          <w:rFonts w:asciiTheme="minorHAnsi" w:hAnsiTheme="minorHAnsi"/>
          <w:sz w:val="24"/>
          <w:szCs w:val="24"/>
        </w:rPr>
        <w:t xml:space="preserve"> il trattamento (1 ha sospeso dopo 2 procedure)</w:t>
      </w:r>
      <w:r w:rsidR="001F37EF" w:rsidRPr="00414DD1">
        <w:rPr>
          <w:rFonts w:asciiTheme="minorHAnsi" w:hAnsiTheme="minorHAnsi"/>
          <w:sz w:val="24"/>
          <w:szCs w:val="24"/>
        </w:rPr>
        <w:t>, 3 sono in corso di trattamento, 16 sono in lista e 8 sono in attesa per accertamenti sanitari.</w:t>
      </w:r>
    </w:p>
    <w:p w:rsidR="00676ABB" w:rsidRPr="00414DD1" w:rsidRDefault="00676ABB" w:rsidP="00DA0CA2">
      <w:pPr>
        <w:outlineLvl w:val="0"/>
        <w:rPr>
          <w:rFonts w:ascii="Calibri" w:hAnsi="Calibri"/>
          <w:b/>
          <w:sz w:val="24"/>
          <w:szCs w:val="24"/>
        </w:rPr>
      </w:pPr>
    </w:p>
    <w:p w:rsidR="00FF70DC" w:rsidRPr="00FF70DC" w:rsidRDefault="00676ABB" w:rsidP="00B76589">
      <w:pPr>
        <w:pStyle w:val="Paragrafoelenco"/>
        <w:numPr>
          <w:ilvl w:val="0"/>
          <w:numId w:val="11"/>
        </w:numPr>
        <w:spacing w:line="360" w:lineRule="auto"/>
        <w:ind w:left="709" w:hanging="283"/>
        <w:outlineLvl w:val="0"/>
        <w:rPr>
          <w:rFonts w:asciiTheme="minorHAnsi" w:hAnsiTheme="minorHAnsi"/>
        </w:rPr>
      </w:pPr>
      <w:r w:rsidRPr="00FF70DC">
        <w:rPr>
          <w:rFonts w:asciiTheme="minorHAnsi" w:hAnsiTheme="minorHAnsi"/>
          <w:b/>
        </w:rPr>
        <w:t>Età:</w:t>
      </w:r>
      <w:r w:rsidRPr="00FF70DC">
        <w:rPr>
          <w:rFonts w:asciiTheme="minorHAnsi" w:hAnsiTheme="minorHAnsi"/>
        </w:rPr>
        <w:t xml:space="preserve"> </w:t>
      </w:r>
      <w:r w:rsidR="00DB2A92" w:rsidRPr="00FF70DC">
        <w:rPr>
          <w:rFonts w:asciiTheme="minorHAnsi" w:hAnsiTheme="minorHAnsi"/>
        </w:rPr>
        <w:tab/>
      </w:r>
      <w:r w:rsidR="00DB2A92" w:rsidRPr="00FF70DC">
        <w:rPr>
          <w:rFonts w:asciiTheme="minorHAnsi" w:hAnsiTheme="minorHAnsi"/>
        </w:rPr>
        <w:tab/>
      </w:r>
    </w:p>
    <w:p w:rsidR="00676ABB" w:rsidRPr="00414DD1" w:rsidRDefault="00676ABB" w:rsidP="00B76589">
      <w:pPr>
        <w:pStyle w:val="Paragrafoelenco"/>
        <w:numPr>
          <w:ilvl w:val="1"/>
          <w:numId w:val="11"/>
        </w:numPr>
        <w:ind w:left="1276" w:hanging="283"/>
        <w:outlineLvl w:val="0"/>
        <w:rPr>
          <w:rFonts w:asciiTheme="minorHAnsi" w:hAnsiTheme="minorHAnsi"/>
        </w:rPr>
      </w:pPr>
      <w:r w:rsidRPr="00414DD1">
        <w:rPr>
          <w:rFonts w:asciiTheme="minorHAnsi" w:hAnsiTheme="minorHAnsi"/>
        </w:rPr>
        <w:t xml:space="preserve">14 nati prima del 31/12/1999 (maggiorenni) </w:t>
      </w:r>
    </w:p>
    <w:p w:rsidR="00676ABB" w:rsidRDefault="00676ABB" w:rsidP="00B76589">
      <w:pPr>
        <w:pStyle w:val="Paragrafoelenco"/>
        <w:numPr>
          <w:ilvl w:val="1"/>
          <w:numId w:val="11"/>
        </w:numPr>
        <w:ind w:left="1276" w:hanging="283"/>
        <w:outlineLvl w:val="0"/>
        <w:rPr>
          <w:rFonts w:asciiTheme="minorHAnsi" w:hAnsiTheme="minorHAnsi"/>
        </w:rPr>
      </w:pPr>
      <w:r w:rsidRPr="00FF70DC">
        <w:rPr>
          <w:rFonts w:asciiTheme="minorHAnsi" w:hAnsiTheme="minorHAnsi"/>
        </w:rPr>
        <w:t xml:space="preserve">2 nati nell’anno 2000  </w:t>
      </w:r>
    </w:p>
    <w:p w:rsidR="00FF70DC" w:rsidRPr="00FF70DC" w:rsidRDefault="00FF70DC" w:rsidP="00FF70DC">
      <w:pPr>
        <w:ind w:left="1063"/>
        <w:outlineLvl w:val="0"/>
        <w:rPr>
          <w:rFonts w:asciiTheme="minorHAnsi" w:hAnsiTheme="minorHAnsi"/>
        </w:rPr>
      </w:pPr>
    </w:p>
    <w:p w:rsidR="00DA0CA2" w:rsidRPr="00FF70DC" w:rsidRDefault="00676ABB" w:rsidP="00B76589">
      <w:pPr>
        <w:pStyle w:val="Paragrafoelenco"/>
        <w:numPr>
          <w:ilvl w:val="0"/>
          <w:numId w:val="11"/>
        </w:numPr>
        <w:spacing w:line="360" w:lineRule="auto"/>
        <w:ind w:left="709" w:hanging="283"/>
        <w:outlineLvl w:val="0"/>
        <w:rPr>
          <w:rFonts w:asciiTheme="minorHAnsi" w:hAnsiTheme="minorHAnsi"/>
          <w:b/>
        </w:rPr>
      </w:pPr>
      <w:r w:rsidRPr="00FF70DC">
        <w:rPr>
          <w:rFonts w:asciiTheme="minorHAnsi" w:hAnsiTheme="minorHAnsi"/>
          <w:b/>
        </w:rPr>
        <w:t xml:space="preserve">Sesso: </w:t>
      </w:r>
      <w:r w:rsidR="00FF70DC" w:rsidRPr="00FF70DC">
        <w:rPr>
          <w:rFonts w:asciiTheme="minorHAnsi" w:hAnsiTheme="minorHAnsi"/>
          <w:b/>
        </w:rPr>
        <w:tab/>
      </w:r>
      <w:r w:rsidR="006961DB" w:rsidRPr="00FF70DC">
        <w:rPr>
          <w:rFonts w:asciiTheme="minorHAnsi" w:hAnsiTheme="minorHAnsi"/>
        </w:rPr>
        <w:t>2</w:t>
      </w:r>
      <w:r w:rsidRPr="00FF70DC">
        <w:rPr>
          <w:rFonts w:asciiTheme="minorHAnsi" w:hAnsiTheme="minorHAnsi"/>
        </w:rPr>
        <w:t xml:space="preserve"> femmine, </w:t>
      </w:r>
      <w:r w:rsidR="006961DB" w:rsidRPr="00FF70DC">
        <w:rPr>
          <w:rFonts w:asciiTheme="minorHAnsi" w:hAnsiTheme="minorHAnsi"/>
        </w:rPr>
        <w:t>14</w:t>
      </w:r>
      <w:r w:rsidRPr="00FF70DC">
        <w:rPr>
          <w:rFonts w:asciiTheme="minorHAnsi" w:hAnsiTheme="minorHAnsi"/>
        </w:rPr>
        <w:t xml:space="preserve"> maschi</w:t>
      </w:r>
    </w:p>
    <w:p w:rsidR="00DA0CA2" w:rsidRPr="00414DD1" w:rsidRDefault="00DA0CA2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FE29B5" w:rsidRDefault="00FE29B5" w:rsidP="00DA0CA2">
      <w:pPr>
        <w:rPr>
          <w:rFonts w:ascii="Calibri" w:hAnsi="Calibri"/>
          <w:sz w:val="24"/>
          <w:szCs w:val="24"/>
        </w:rPr>
      </w:pPr>
    </w:p>
    <w:p w:rsidR="00C83E1F" w:rsidRDefault="00C83E1F" w:rsidP="00DA0CA2">
      <w:pPr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sz w:val="24"/>
          <w:szCs w:val="24"/>
        </w:rPr>
        <w:t xml:space="preserve">Nella Tabella </w:t>
      </w:r>
      <w:r w:rsidR="00FE29B5">
        <w:rPr>
          <w:rFonts w:ascii="Calibri" w:hAnsi="Calibri"/>
          <w:sz w:val="24"/>
          <w:szCs w:val="24"/>
        </w:rPr>
        <w:t xml:space="preserve"> che segue </w:t>
      </w:r>
      <w:r w:rsidRPr="00414DD1">
        <w:rPr>
          <w:rFonts w:ascii="Calibri" w:hAnsi="Calibri"/>
          <w:sz w:val="24"/>
          <w:szCs w:val="24"/>
        </w:rPr>
        <w:t>sono riportate le percentuali di riduzione di PFOA e PFOS</w:t>
      </w:r>
      <w:r w:rsidR="00307277" w:rsidRPr="00414DD1">
        <w:rPr>
          <w:rFonts w:ascii="Calibri" w:hAnsi="Calibri"/>
          <w:sz w:val="24"/>
          <w:szCs w:val="24"/>
        </w:rPr>
        <w:t xml:space="preserve"> per ogni singola procedura, tra l’inizio e la fine del trattamento e tra l’inizio e il controllo a 30 giorni.</w:t>
      </w:r>
    </w:p>
    <w:p w:rsidR="00FE29B5" w:rsidRPr="00414DD1" w:rsidRDefault="00FE29B5" w:rsidP="00DA0CA2">
      <w:pPr>
        <w:rPr>
          <w:rFonts w:ascii="Calibri" w:hAnsi="Calibri"/>
          <w:sz w:val="24"/>
          <w:szCs w:val="24"/>
        </w:rPr>
      </w:pPr>
    </w:p>
    <w:p w:rsidR="00DA0CA2" w:rsidRPr="00414DD1" w:rsidRDefault="00DA0CA2" w:rsidP="00DA0CA2">
      <w:pPr>
        <w:rPr>
          <w:rFonts w:ascii="Calibri" w:hAnsi="Calibri"/>
          <w:sz w:val="24"/>
          <w:szCs w:val="24"/>
        </w:rPr>
      </w:pPr>
      <w:r w:rsidRPr="00414DD1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6114415" cy="2663825"/>
            <wp:effectExtent l="19050" t="0" r="635" b="0"/>
            <wp:docPr id="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CA2" w:rsidRPr="00414DD1" w:rsidRDefault="00DA0CA2" w:rsidP="00DA0CA2">
      <w:pPr>
        <w:rPr>
          <w:rFonts w:ascii="Calibri" w:hAnsi="Calibri"/>
          <w:sz w:val="24"/>
          <w:szCs w:val="24"/>
        </w:rPr>
      </w:pPr>
    </w:p>
    <w:p w:rsidR="001F37EF" w:rsidRPr="00414DD1" w:rsidRDefault="001F37EF" w:rsidP="00DA0CA2">
      <w:pPr>
        <w:rPr>
          <w:rFonts w:ascii="Calibri" w:hAnsi="Calibri"/>
          <w:sz w:val="24"/>
          <w:szCs w:val="24"/>
        </w:rPr>
      </w:pPr>
    </w:p>
    <w:p w:rsidR="001F37EF" w:rsidRPr="00414DD1" w:rsidRDefault="001F37EF" w:rsidP="00DA0CA2">
      <w:pPr>
        <w:rPr>
          <w:rFonts w:ascii="Calibri" w:hAnsi="Calibri"/>
          <w:sz w:val="24"/>
          <w:szCs w:val="24"/>
        </w:rPr>
      </w:pPr>
    </w:p>
    <w:p w:rsidR="00B76589" w:rsidRDefault="00063B12" w:rsidP="00B76589">
      <w:pPr>
        <w:rPr>
          <w:sz w:val="24"/>
          <w:szCs w:val="24"/>
        </w:rPr>
      </w:pPr>
      <w:r w:rsidRPr="00414D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4267200</wp:posOffset>
                </wp:positionV>
                <wp:extent cx="345440" cy="207010"/>
                <wp:effectExtent l="7620" t="10795" r="889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A2" w:rsidRDefault="00DA0CA2" w:rsidP="00DA0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pt;margin-top:336pt;width:27.2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" strokecolor="white">
                <v:textbox>
                  <w:txbxContent>
                    <w:p w:rsidR="00DA0CA2" w:rsidRDefault="00DA0CA2" w:rsidP="00DA0CA2"/>
                  </w:txbxContent>
                </v:textbox>
              </v:shape>
            </w:pict>
          </mc:Fallback>
        </mc:AlternateContent>
      </w:r>
      <w:r w:rsidRPr="00414D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4319270</wp:posOffset>
                </wp:positionV>
                <wp:extent cx="457200" cy="154940"/>
                <wp:effectExtent l="12065" t="15240" r="698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0CA2" w:rsidRDefault="00DA0CA2" w:rsidP="00DA0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2.75pt;margin-top:340.1pt;width:36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" strokecolor="white" strokeweight="1pt">
                <v:stroke dashstyle="dash"/>
                <v:shadow color="#868686"/>
                <v:textbox>
                  <w:txbxContent>
                    <w:p w:rsidR="00DA0CA2" w:rsidRDefault="00DA0CA2" w:rsidP="00DA0CA2"/>
                  </w:txbxContent>
                </v:textbox>
              </v:shape>
            </w:pict>
          </mc:Fallback>
        </mc:AlternateContent>
      </w:r>
      <w:r w:rsidR="00DA0CA2" w:rsidRPr="00414DD1">
        <w:rPr>
          <w:noProof/>
          <w:sz w:val="24"/>
          <w:szCs w:val="24"/>
        </w:rPr>
        <w:drawing>
          <wp:inline distT="0" distB="0" distL="0" distR="0">
            <wp:extent cx="6114415" cy="4413250"/>
            <wp:effectExtent l="19050" t="0" r="635" b="0"/>
            <wp:docPr id="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41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40" w:rsidRPr="00B76589" w:rsidRDefault="00560140" w:rsidP="00B76589">
      <w:pPr>
        <w:rPr>
          <w:sz w:val="24"/>
          <w:szCs w:val="24"/>
        </w:rPr>
      </w:pPr>
      <w:r w:rsidRPr="00414DD1">
        <w:rPr>
          <w:rFonts w:asciiTheme="minorHAnsi" w:hAnsiTheme="minorHAnsi"/>
          <w:b/>
          <w:sz w:val="24"/>
          <w:szCs w:val="24"/>
        </w:rPr>
        <w:lastRenderedPageBreak/>
        <w:t>CONSIDERAZIONI PRELIMINARI:</w:t>
      </w:r>
    </w:p>
    <w:p w:rsidR="00510D6F" w:rsidRPr="00414DD1" w:rsidRDefault="00510D6F" w:rsidP="00CF4491">
      <w:pPr>
        <w:jc w:val="both"/>
        <w:outlineLvl w:val="0"/>
        <w:rPr>
          <w:rFonts w:asciiTheme="minorHAnsi" w:hAnsiTheme="minorHAnsi"/>
          <w:b/>
          <w:sz w:val="24"/>
          <w:szCs w:val="24"/>
        </w:rPr>
      </w:pPr>
    </w:p>
    <w:p w:rsidR="00014A55" w:rsidRPr="00FE29B5" w:rsidRDefault="00632E66" w:rsidP="00EB1D58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Calibri" w:hAnsi="Calibri"/>
        </w:rPr>
      </w:pPr>
      <w:r w:rsidRPr="00FE29B5">
        <w:rPr>
          <w:rFonts w:asciiTheme="minorHAnsi" w:hAnsiTheme="minorHAnsi"/>
        </w:rPr>
        <w:t xml:space="preserve">Vi è </w:t>
      </w:r>
      <w:r w:rsidR="00560140" w:rsidRPr="00FE29B5">
        <w:rPr>
          <w:rFonts w:asciiTheme="minorHAnsi" w:hAnsiTheme="minorHAnsi"/>
        </w:rPr>
        <w:t xml:space="preserve">un naturale calo delle concentrazioni (t0 – t1) prima dell’intervento sanitario, </w:t>
      </w:r>
      <w:r w:rsidR="00FE29B5" w:rsidRPr="00B76589">
        <w:rPr>
          <w:rFonts w:asciiTheme="minorHAnsi" w:hAnsiTheme="minorHAnsi"/>
          <w:b/>
        </w:rPr>
        <w:t xml:space="preserve">molto </w:t>
      </w:r>
      <w:r w:rsidR="00560140" w:rsidRPr="00B76589">
        <w:rPr>
          <w:rFonts w:asciiTheme="minorHAnsi" w:hAnsiTheme="minorHAnsi"/>
          <w:b/>
        </w:rPr>
        <w:t xml:space="preserve">probabilmente legato </w:t>
      </w:r>
      <w:r w:rsidR="003C73D5" w:rsidRPr="00B76589">
        <w:rPr>
          <w:rFonts w:asciiTheme="minorHAnsi" w:hAnsiTheme="minorHAnsi"/>
          <w:b/>
        </w:rPr>
        <w:t xml:space="preserve">alle misure di </w:t>
      </w:r>
      <w:r w:rsidR="00FE29B5" w:rsidRPr="00B76589">
        <w:rPr>
          <w:rFonts w:asciiTheme="minorHAnsi" w:hAnsiTheme="minorHAnsi"/>
          <w:b/>
        </w:rPr>
        <w:t>sanità pubblica che hanno portato alla riduzione dell’esposizione</w:t>
      </w:r>
      <w:r w:rsidR="00014A55" w:rsidRPr="00B76589">
        <w:rPr>
          <w:rFonts w:asciiTheme="minorHAnsi" w:hAnsiTheme="minorHAnsi"/>
          <w:b/>
        </w:rPr>
        <w:t>,</w:t>
      </w:r>
      <w:r w:rsidR="00014A55" w:rsidRPr="00FE29B5">
        <w:rPr>
          <w:rFonts w:asciiTheme="minorHAnsi" w:hAnsiTheme="minorHAnsi"/>
        </w:rPr>
        <w:t xml:space="preserve"> ma anche alla fisiologica eliminazione della sostanza: l’analisi dei dati cumulativi evidenzia una diminuzione media del </w:t>
      </w:r>
      <w:r w:rsidR="00FE29B5" w:rsidRPr="00FE29B5">
        <w:rPr>
          <w:rFonts w:asciiTheme="minorHAnsi" w:hAnsiTheme="minorHAnsi"/>
        </w:rPr>
        <w:t>3</w:t>
      </w:r>
      <w:r w:rsidR="008B74D3" w:rsidRPr="00FE29B5">
        <w:rPr>
          <w:rFonts w:asciiTheme="minorHAnsi" w:hAnsiTheme="minorHAnsi"/>
        </w:rPr>
        <w:t>1,</w:t>
      </w:r>
      <w:r w:rsidR="00FE29B5" w:rsidRPr="00FE29B5">
        <w:rPr>
          <w:rFonts w:asciiTheme="minorHAnsi" w:hAnsiTheme="minorHAnsi"/>
        </w:rPr>
        <w:t>7</w:t>
      </w:r>
      <w:r w:rsidR="008B74D3" w:rsidRPr="00FE29B5">
        <w:rPr>
          <w:rFonts w:asciiTheme="minorHAnsi" w:hAnsiTheme="minorHAnsi"/>
        </w:rPr>
        <w:t>%</w:t>
      </w:r>
      <w:r w:rsidR="00014A55" w:rsidRPr="00FE29B5">
        <w:rPr>
          <w:rFonts w:asciiTheme="minorHAnsi" w:hAnsiTheme="minorHAnsi"/>
        </w:rPr>
        <w:t xml:space="preserve"> dal momento dello screening al momento del dosaggio preliminare alla prima procedura. </w:t>
      </w:r>
      <w:r w:rsidR="00014A55" w:rsidRPr="00FE29B5">
        <w:rPr>
          <w:rFonts w:ascii="Calibri" w:hAnsi="Calibri"/>
        </w:rPr>
        <w:t xml:space="preserve">Inoltre, il test di regressione lineare eseguito sui dati di un campione di 19 soggetti  dimostrerebbe che c'è una significatività tra giorni intercorsi e diminuzione dei valori. </w:t>
      </w:r>
      <w:r w:rsidR="00514E4A" w:rsidRPr="00FE29B5">
        <w:rPr>
          <w:rFonts w:ascii="Calibri" w:hAnsi="Calibri"/>
        </w:rPr>
        <w:t>E’</w:t>
      </w:r>
      <w:r w:rsidR="00014A55" w:rsidRPr="00FE29B5">
        <w:rPr>
          <w:rFonts w:ascii="Calibri" w:hAnsi="Calibri"/>
        </w:rPr>
        <w:t xml:space="preserve"> probabile che una numerosità maggiore potrebbe dare maggior peso al risultato.</w:t>
      </w:r>
    </w:p>
    <w:p w:rsidR="00B76589" w:rsidRPr="00B76589" w:rsidRDefault="00014A55" w:rsidP="00B76589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ascii="Calibri" w:hAnsi="Calibri"/>
        </w:rPr>
      </w:pPr>
      <w:r w:rsidRPr="00B76589">
        <w:rPr>
          <w:rFonts w:ascii="Calibri" w:hAnsi="Calibri"/>
        </w:rPr>
        <w:t>Nei soggetti trattati con Plasmaferesi l</w:t>
      </w:r>
      <w:r w:rsidR="00560140" w:rsidRPr="00B76589">
        <w:rPr>
          <w:rFonts w:ascii="Calibri" w:hAnsi="Calibri"/>
        </w:rPr>
        <w:t xml:space="preserve">a concentrazione media di PFOA scende ma </w:t>
      </w:r>
      <w:r w:rsidR="00CF4491" w:rsidRPr="00B76589">
        <w:rPr>
          <w:rFonts w:ascii="Calibri" w:hAnsi="Calibri"/>
        </w:rPr>
        <w:t xml:space="preserve">non </w:t>
      </w:r>
      <w:r w:rsidR="00560140" w:rsidRPr="00B76589">
        <w:rPr>
          <w:rFonts w:ascii="Calibri" w:hAnsi="Calibri"/>
        </w:rPr>
        <w:t xml:space="preserve">in maniera </w:t>
      </w:r>
      <w:r w:rsidR="003C73D5" w:rsidRPr="00B76589">
        <w:rPr>
          <w:rFonts w:ascii="Calibri" w:hAnsi="Calibri"/>
        </w:rPr>
        <w:t>lineare</w:t>
      </w:r>
      <w:r w:rsidR="00560140" w:rsidRPr="00B76589">
        <w:rPr>
          <w:rFonts w:ascii="Calibri" w:hAnsi="Calibri"/>
          <w:b/>
        </w:rPr>
        <w:t>.</w:t>
      </w:r>
      <w:r w:rsidR="00CF4491" w:rsidRPr="00B76589">
        <w:rPr>
          <w:rFonts w:ascii="Calibri" w:hAnsi="Calibri"/>
          <w:b/>
        </w:rPr>
        <w:t xml:space="preserve"> </w:t>
      </w:r>
      <w:r w:rsidR="00632E66" w:rsidRPr="00B76589">
        <w:rPr>
          <w:rFonts w:ascii="Calibri" w:hAnsi="Calibri"/>
          <w:b/>
        </w:rPr>
        <w:t>Dopo 4 procedure vi è comunque un calo medio di 4</w:t>
      </w:r>
      <w:r w:rsidR="006961DB" w:rsidRPr="00B76589">
        <w:rPr>
          <w:rFonts w:ascii="Calibri" w:hAnsi="Calibri"/>
          <w:b/>
        </w:rPr>
        <w:t>0</w:t>
      </w:r>
      <w:r w:rsidR="00632E66" w:rsidRPr="00B76589">
        <w:rPr>
          <w:rFonts w:ascii="Calibri" w:hAnsi="Calibri"/>
          <w:b/>
        </w:rPr>
        <w:t>,</w:t>
      </w:r>
      <w:r w:rsidR="006961DB" w:rsidRPr="00B76589">
        <w:rPr>
          <w:rFonts w:ascii="Calibri" w:hAnsi="Calibri"/>
          <w:b/>
        </w:rPr>
        <w:t>1</w:t>
      </w:r>
      <w:r w:rsidR="00632E66" w:rsidRPr="00B76589">
        <w:rPr>
          <w:rFonts w:ascii="Calibri" w:hAnsi="Calibri"/>
          <w:b/>
        </w:rPr>
        <w:t xml:space="preserve"> ng/ml</w:t>
      </w:r>
      <w:r w:rsidR="00B76589" w:rsidRPr="00B76589">
        <w:rPr>
          <w:rFonts w:ascii="Calibri" w:hAnsi="Calibri"/>
          <w:b/>
        </w:rPr>
        <w:t xml:space="preserve"> che </w:t>
      </w:r>
      <w:r w:rsidR="00B76589" w:rsidRPr="00B76589">
        <w:rPr>
          <w:rFonts w:ascii="Calibri" w:hAnsi="Calibri"/>
          <w:b/>
        </w:rPr>
        <w:t>ml corrisponde al 35% di calo rispetto al valore iniziale</w:t>
      </w:r>
      <w:r w:rsidR="00B76589" w:rsidRPr="00B76589">
        <w:rPr>
          <w:rFonts w:ascii="Calibri" w:hAnsi="Calibri"/>
        </w:rPr>
        <w:t>.</w:t>
      </w:r>
    </w:p>
    <w:p w:rsidR="004545E5" w:rsidRDefault="004545E5" w:rsidP="00A731F1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ascii="Calibri" w:hAnsi="Calibri"/>
        </w:rPr>
      </w:pPr>
      <w:r w:rsidRPr="00CB0C96">
        <w:rPr>
          <w:rFonts w:ascii="Calibri" w:hAnsi="Calibri"/>
        </w:rPr>
        <w:t xml:space="preserve">Come atteso, nei soggetti trattati con Scambio plasmatico la diminuzione è molto </w:t>
      </w:r>
      <w:r w:rsidR="00EB1D58" w:rsidRPr="00CB0C96">
        <w:rPr>
          <w:rFonts w:ascii="Calibri" w:hAnsi="Calibri"/>
        </w:rPr>
        <w:t xml:space="preserve">più </w:t>
      </w:r>
      <w:r w:rsidRPr="00CB0C96">
        <w:rPr>
          <w:rFonts w:ascii="Calibri" w:hAnsi="Calibri"/>
        </w:rPr>
        <w:t>evidente.</w:t>
      </w:r>
      <w:r w:rsidR="00CB0C96">
        <w:rPr>
          <w:rFonts w:ascii="Calibri" w:hAnsi="Calibri"/>
        </w:rPr>
        <w:t xml:space="preserve"> S</w:t>
      </w:r>
      <w:r w:rsidRPr="00CB0C96">
        <w:rPr>
          <w:rFonts w:ascii="Calibri" w:hAnsi="Calibri"/>
        </w:rPr>
        <w:t>i osserva una risalita della concentrazione plasmatica tra il post di una procedura e il pre della successiva: ugualmente, nei controlli a 30 giorni vi è una risalita delle concentrazioni, a conferma dell’ipotesi preliminare al programma di trattamento</w:t>
      </w:r>
      <w:r w:rsidR="006961DB" w:rsidRPr="00CB0C96">
        <w:rPr>
          <w:rFonts w:ascii="Calibri" w:hAnsi="Calibri"/>
        </w:rPr>
        <w:t>,</w:t>
      </w:r>
      <w:r w:rsidRPr="00CB0C96">
        <w:rPr>
          <w:rFonts w:ascii="Calibri" w:hAnsi="Calibri"/>
        </w:rPr>
        <w:t xml:space="preserve"> di possibile rimozione dai depositi tissutali.</w:t>
      </w:r>
    </w:p>
    <w:p w:rsidR="00560140" w:rsidRPr="00414DD1" w:rsidRDefault="004545E5" w:rsidP="004545E5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asciiTheme="minorHAnsi" w:hAnsiTheme="minorHAnsi"/>
        </w:rPr>
      </w:pPr>
      <w:r w:rsidRPr="00414DD1">
        <w:rPr>
          <w:rFonts w:asciiTheme="minorHAnsi" w:hAnsiTheme="minorHAnsi"/>
        </w:rPr>
        <w:t xml:space="preserve">Nei soggetti trattati con Plasmaferesi o Scambio Plasmatico </w:t>
      </w:r>
      <w:r w:rsidR="00CB0C96">
        <w:rPr>
          <w:rFonts w:asciiTheme="minorHAnsi" w:hAnsiTheme="minorHAnsi"/>
        </w:rPr>
        <w:t>in relazione al</w:t>
      </w:r>
      <w:r w:rsidRPr="00414DD1">
        <w:rPr>
          <w:rFonts w:asciiTheme="minorHAnsi" w:hAnsiTheme="minorHAnsi"/>
        </w:rPr>
        <w:t>l</w:t>
      </w:r>
      <w:r w:rsidR="003C73D5" w:rsidRPr="00414DD1">
        <w:rPr>
          <w:rFonts w:asciiTheme="minorHAnsi" w:hAnsiTheme="minorHAnsi"/>
        </w:rPr>
        <w:t xml:space="preserve">a quantità di sostanza rimossa, se la sostanza fosse solo </w:t>
      </w:r>
      <w:r w:rsidR="00CB0C96">
        <w:rPr>
          <w:rFonts w:asciiTheme="minorHAnsi" w:hAnsiTheme="minorHAnsi"/>
        </w:rPr>
        <w:t xml:space="preserve">presente solo nel </w:t>
      </w:r>
      <w:r w:rsidR="003C73D5" w:rsidRPr="00414DD1">
        <w:rPr>
          <w:rFonts w:asciiTheme="minorHAnsi" w:hAnsiTheme="minorHAnsi"/>
        </w:rPr>
        <w:t xml:space="preserve">plasma, </w:t>
      </w:r>
      <w:r w:rsidR="00CB0C96">
        <w:rPr>
          <w:rFonts w:asciiTheme="minorHAnsi" w:hAnsiTheme="minorHAnsi"/>
        </w:rPr>
        <w:t xml:space="preserve">la procedura applicata </w:t>
      </w:r>
      <w:r w:rsidR="00014A55" w:rsidRPr="00414DD1">
        <w:rPr>
          <w:rFonts w:asciiTheme="minorHAnsi" w:hAnsiTheme="minorHAnsi"/>
        </w:rPr>
        <w:t>avrebbe dovuto</w:t>
      </w:r>
      <w:r w:rsidR="003C73D5" w:rsidRPr="00414DD1">
        <w:rPr>
          <w:rFonts w:asciiTheme="minorHAnsi" w:hAnsiTheme="minorHAnsi"/>
        </w:rPr>
        <w:t xml:space="preserve"> portare a completa eliminazione della sostanza stessa. Il fatto che le concentrazioni plasmatiche si riducano, ma non si azzerino, </w:t>
      </w:r>
      <w:r w:rsidR="00CF4491" w:rsidRPr="00414DD1">
        <w:rPr>
          <w:rFonts w:asciiTheme="minorHAnsi" w:hAnsiTheme="minorHAnsi"/>
        </w:rPr>
        <w:t xml:space="preserve">è verosimilmente imputabile ad una </w:t>
      </w:r>
      <w:r w:rsidR="00CF4491" w:rsidRPr="00CB0C96">
        <w:rPr>
          <w:rFonts w:asciiTheme="minorHAnsi" w:hAnsiTheme="minorHAnsi"/>
          <w:u w:val="single"/>
        </w:rPr>
        <w:t>mobilizzazione verso lo spazio intravascolare</w:t>
      </w:r>
      <w:r w:rsidR="00CF4491" w:rsidRPr="00414DD1">
        <w:rPr>
          <w:rFonts w:asciiTheme="minorHAnsi" w:hAnsiTheme="minorHAnsi"/>
        </w:rPr>
        <w:t xml:space="preserve"> di sostanza presente nei tessuti</w:t>
      </w:r>
      <w:r w:rsidR="003C73D5" w:rsidRPr="00414DD1">
        <w:rPr>
          <w:rFonts w:asciiTheme="minorHAnsi" w:hAnsiTheme="minorHAnsi"/>
        </w:rPr>
        <w:t>. Tale mobilizzazione</w:t>
      </w:r>
      <w:r w:rsidR="00CF4491" w:rsidRPr="00414DD1">
        <w:rPr>
          <w:rFonts w:asciiTheme="minorHAnsi" w:hAnsiTheme="minorHAnsi"/>
        </w:rPr>
        <w:t xml:space="preserve"> probabilmente </w:t>
      </w:r>
      <w:r w:rsidR="003C73D5" w:rsidRPr="00414DD1">
        <w:rPr>
          <w:rFonts w:asciiTheme="minorHAnsi" w:hAnsiTheme="minorHAnsi"/>
        </w:rPr>
        <w:t xml:space="preserve">è </w:t>
      </w:r>
      <w:r w:rsidR="00CF4491" w:rsidRPr="00414DD1">
        <w:rPr>
          <w:rFonts w:asciiTheme="minorHAnsi" w:hAnsiTheme="minorHAnsi"/>
        </w:rPr>
        <w:t xml:space="preserve">favorita dalla rimozione attiva dei PFAs circolanti mediante plasmaferesi e scambio plasmatico. </w:t>
      </w:r>
    </w:p>
    <w:p w:rsidR="004545E5" w:rsidRPr="00414DD1" w:rsidRDefault="004545E5" w:rsidP="004545E5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ascii="Calibri" w:hAnsi="Calibri"/>
        </w:rPr>
      </w:pPr>
      <w:r w:rsidRPr="00414DD1">
        <w:rPr>
          <w:rFonts w:ascii="Calibri" w:hAnsi="Calibri"/>
        </w:rPr>
        <w:t xml:space="preserve">Il </w:t>
      </w:r>
      <w:r w:rsidRPr="00414DD1">
        <w:rPr>
          <w:rFonts w:asciiTheme="minorHAnsi" w:hAnsiTheme="minorHAnsi"/>
        </w:rPr>
        <w:t>calo delle concentrazioni (t0 – t1) prima dell’intervento sanitario</w:t>
      </w:r>
      <w:r w:rsidRPr="00414DD1">
        <w:rPr>
          <w:rFonts w:ascii="Calibri" w:hAnsi="Calibri"/>
        </w:rPr>
        <w:t xml:space="preserve"> </w:t>
      </w:r>
      <w:r w:rsidR="00CB0C96">
        <w:rPr>
          <w:rFonts w:ascii="Calibri" w:hAnsi="Calibri"/>
        </w:rPr>
        <w:t xml:space="preserve">potrebbe </w:t>
      </w:r>
      <w:r w:rsidRPr="00414DD1">
        <w:rPr>
          <w:rFonts w:ascii="Calibri" w:hAnsi="Calibri"/>
        </w:rPr>
        <w:t>suggeri</w:t>
      </w:r>
      <w:r w:rsidR="00CB0C96">
        <w:rPr>
          <w:rFonts w:ascii="Calibri" w:hAnsi="Calibri"/>
        </w:rPr>
        <w:t>r</w:t>
      </w:r>
      <w:r w:rsidRPr="00414DD1">
        <w:rPr>
          <w:rFonts w:ascii="Calibri" w:hAnsi="Calibri"/>
        </w:rPr>
        <w:t>e l’opportunità di un monitoraggio dei soggetti non trattati: sulla scorta di questi dati potrà essere compreso quale sia il metabolismo fisiologico di queste sostanze e il reale tempo necessario alla loro eliminazione.</w:t>
      </w:r>
    </w:p>
    <w:p w:rsidR="00307277" w:rsidRPr="00414DD1" w:rsidRDefault="00307277" w:rsidP="00307277">
      <w:pPr>
        <w:pStyle w:val="Paragrafoelenco"/>
        <w:numPr>
          <w:ilvl w:val="0"/>
          <w:numId w:val="7"/>
        </w:numPr>
        <w:spacing w:after="200" w:line="276" w:lineRule="auto"/>
        <w:jc w:val="both"/>
        <w:rPr>
          <w:rFonts w:ascii="Calibri" w:hAnsi="Calibri"/>
        </w:rPr>
      </w:pPr>
      <w:r w:rsidRPr="00414DD1">
        <w:rPr>
          <w:rFonts w:ascii="Calibri" w:hAnsi="Calibri"/>
        </w:rPr>
        <w:t xml:space="preserve">I dati si riferiscono ancora a un campione numericamente </w:t>
      </w:r>
      <w:r w:rsidR="00CB0C96">
        <w:rPr>
          <w:rFonts w:ascii="Calibri" w:hAnsi="Calibri"/>
        </w:rPr>
        <w:t>poco rappresentativo</w:t>
      </w:r>
      <w:r w:rsidRPr="00414DD1">
        <w:rPr>
          <w:rFonts w:ascii="Calibri" w:hAnsi="Calibri"/>
        </w:rPr>
        <w:t xml:space="preserve">, </w:t>
      </w:r>
      <w:r w:rsidR="00CB0C96">
        <w:rPr>
          <w:rFonts w:ascii="Calibri" w:hAnsi="Calibri"/>
        </w:rPr>
        <w:t>verranno successivamente</w:t>
      </w:r>
      <w:r w:rsidRPr="00414DD1">
        <w:rPr>
          <w:rFonts w:ascii="Calibri" w:hAnsi="Calibri"/>
        </w:rPr>
        <w:t xml:space="preserve"> stratificati per sesso, età e, soprattutto, per tempo trascorso e </w:t>
      </w:r>
      <w:r w:rsidR="00CB0C96">
        <w:rPr>
          <w:rFonts w:ascii="Calibri" w:hAnsi="Calibri"/>
        </w:rPr>
        <w:t>georeferenziati</w:t>
      </w:r>
      <w:r w:rsidRPr="00414DD1">
        <w:rPr>
          <w:rFonts w:ascii="Calibri" w:hAnsi="Calibri"/>
        </w:rPr>
        <w:t>.</w:t>
      </w:r>
    </w:p>
    <w:p w:rsidR="00307277" w:rsidRPr="00414DD1" w:rsidRDefault="00307277" w:rsidP="00307277">
      <w:pPr>
        <w:pStyle w:val="Paragrafoelenco"/>
        <w:spacing w:after="200" w:line="276" w:lineRule="auto"/>
        <w:jc w:val="both"/>
        <w:rPr>
          <w:rFonts w:ascii="Calibri" w:hAnsi="Calibri"/>
        </w:rPr>
      </w:pPr>
    </w:p>
    <w:p w:rsidR="004545E5" w:rsidRPr="00414DD1" w:rsidRDefault="00676ABB" w:rsidP="004545E5">
      <w:pPr>
        <w:pStyle w:val="Paragrafoelenco"/>
        <w:spacing w:after="200" w:line="276" w:lineRule="auto"/>
        <w:jc w:val="both"/>
        <w:rPr>
          <w:rFonts w:asciiTheme="minorHAnsi" w:hAnsiTheme="minorHAnsi"/>
        </w:rPr>
      </w:pPr>
      <w:r w:rsidRPr="00414DD1">
        <w:rPr>
          <w:rFonts w:asciiTheme="minorHAnsi" w:hAnsiTheme="minorHAnsi"/>
          <w:noProof/>
        </w:rPr>
        <w:lastRenderedPageBreak/>
        <w:drawing>
          <wp:inline distT="0" distB="0" distL="0" distR="0">
            <wp:extent cx="6120130" cy="4109389"/>
            <wp:effectExtent l="19050" t="0" r="0" b="0"/>
            <wp:docPr id="9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0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C96" w:rsidRDefault="00B76589" w:rsidP="00CF4491">
      <w:pPr>
        <w:widowControl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grafico evidenzia (su 19 soggetti) la correlazione tra calo della concentrazione dei Pfas e tempo intercorso tra lo screening ed il dosaggio successivo.</w:t>
      </w:r>
      <w:bookmarkStart w:id="0" w:name="_GoBack"/>
      <w:bookmarkEnd w:id="0"/>
    </w:p>
    <w:p w:rsidR="00CB0C96" w:rsidRDefault="00CB0C96" w:rsidP="00CF4491">
      <w:pPr>
        <w:widowControl w:val="0"/>
        <w:jc w:val="both"/>
        <w:rPr>
          <w:rFonts w:ascii="Calibri" w:hAnsi="Calibri"/>
          <w:sz w:val="24"/>
          <w:szCs w:val="24"/>
        </w:rPr>
      </w:pPr>
    </w:p>
    <w:p w:rsidR="00CB0C96" w:rsidRDefault="00CB0C96" w:rsidP="00CF4491">
      <w:pPr>
        <w:widowControl w:val="0"/>
        <w:jc w:val="both"/>
        <w:rPr>
          <w:rFonts w:ascii="Calibri" w:hAnsi="Calibri"/>
          <w:sz w:val="24"/>
          <w:szCs w:val="24"/>
        </w:rPr>
      </w:pPr>
    </w:p>
    <w:p w:rsidR="00E36ABC" w:rsidRPr="00FE4AC1" w:rsidRDefault="00FE4AC1" w:rsidP="00CF4491">
      <w:pPr>
        <w:widowControl w:val="0"/>
        <w:jc w:val="both"/>
        <w:rPr>
          <w:rFonts w:ascii="Calibri" w:hAnsi="Calibri"/>
          <w:b/>
          <w:sz w:val="24"/>
          <w:szCs w:val="24"/>
        </w:rPr>
      </w:pPr>
      <w:r w:rsidRPr="00FE4AC1">
        <w:rPr>
          <w:rFonts w:ascii="Calibri" w:hAnsi="Calibri"/>
          <w:b/>
          <w:sz w:val="24"/>
          <w:szCs w:val="24"/>
        </w:rPr>
        <w:t>BIBLIOGRAFIA</w:t>
      </w:r>
    </w:p>
    <w:p w:rsidR="00CB0C96" w:rsidRPr="00414DD1" w:rsidRDefault="00CB0C96" w:rsidP="00CF4491">
      <w:pPr>
        <w:widowControl w:val="0"/>
        <w:jc w:val="both"/>
        <w:rPr>
          <w:rFonts w:ascii="Calibri" w:hAnsi="Calibri"/>
          <w:sz w:val="24"/>
          <w:szCs w:val="24"/>
        </w:rPr>
      </w:pPr>
    </w:p>
    <w:p w:rsidR="00530E90" w:rsidRPr="00414DD1" w:rsidRDefault="00530E90" w:rsidP="00CF4491">
      <w:pPr>
        <w:pStyle w:val="Paragrafoelenco"/>
        <w:tabs>
          <w:tab w:val="left" w:pos="142"/>
          <w:tab w:val="left" w:pos="284"/>
        </w:tabs>
        <w:ind w:left="0"/>
        <w:jc w:val="both"/>
        <w:rPr>
          <w:rFonts w:asciiTheme="minorHAnsi" w:hAnsiTheme="minorHAnsi"/>
        </w:rPr>
      </w:pPr>
      <w:r w:rsidRPr="00414DD1">
        <w:rPr>
          <w:rStyle w:val="Rimandonotaapidipagina"/>
          <w:rFonts w:asciiTheme="minorHAnsi" w:hAnsiTheme="minorHAnsi"/>
        </w:rPr>
        <w:footnoteRef/>
      </w:r>
      <w:r w:rsidRPr="00414DD1">
        <w:rPr>
          <w:rFonts w:asciiTheme="minorHAnsi" w:hAnsiTheme="minorHAnsi"/>
        </w:rPr>
        <w:t xml:space="preserve"> Gli articoli riportati nelle Linee Guida ASFA 2016 relativi al trattamento aferetico in casi di avvelenamenti/intossicazioni sono : </w:t>
      </w:r>
    </w:p>
    <w:p w:rsidR="00530E90" w:rsidRPr="00414DD1" w:rsidRDefault="00530E90" w:rsidP="00CF4491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after="200" w:line="276" w:lineRule="auto"/>
        <w:ind w:left="0" w:firstLine="0"/>
        <w:jc w:val="both"/>
        <w:rPr>
          <w:rStyle w:val="pagelast"/>
          <w:rFonts w:asciiTheme="minorHAnsi" w:hAnsiTheme="minorHAnsi"/>
          <w:i/>
        </w:rPr>
      </w:pP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Abraham M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Tilzer L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Hoehn KS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Thornton SL.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rticletitle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Therapeutic plasma exchange for refractory hemolysis after brown recluse spider (loxosceles reclusa) envenomation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.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journaltitle"/>
          <w:rFonts w:asciiTheme="minorHAnsi" w:hAnsiTheme="minorHAnsi"/>
          <w:i/>
          <w:iCs/>
          <w:color w:val="333333"/>
          <w:bdr w:val="none" w:sz="0" w:space="0" w:color="auto" w:frame="1"/>
          <w:shd w:val="clear" w:color="auto" w:fill="FFFFFF"/>
        </w:rPr>
        <w:t>J Med Toxicol</w:t>
      </w:r>
      <w:r w:rsidRPr="00414DD1">
        <w:rPr>
          <w:rStyle w:val="pubyear"/>
          <w:rFonts w:asciiTheme="minorHAnsi" w:hAnsiTheme="minorHAnsi"/>
          <w:color w:val="333333"/>
          <w:bdr w:val="none" w:sz="0" w:space="0" w:color="auto" w:frame="1"/>
          <w:shd w:val="clear" w:color="auto" w:fill="FFFFFF"/>
        </w:rPr>
        <w:t>2015</w:t>
      </w:r>
      <w:r w:rsidRPr="00414DD1">
        <w:rPr>
          <w:rFonts w:asciiTheme="minorHAnsi" w:hAnsiTheme="minorHAnsi"/>
          <w:color w:val="333333"/>
          <w:shd w:val="clear" w:color="auto" w:fill="FFFFFF"/>
        </w:rPr>
        <w:t>;</w:t>
      </w:r>
      <w:r w:rsidRPr="00414DD1">
        <w:rPr>
          <w:rStyle w:val="vol"/>
          <w:rFonts w:asciiTheme="minorHAnsi" w:hAnsiTheme="minorHAnsi"/>
          <w:b/>
          <w:bCs/>
          <w:color w:val="333333"/>
          <w:bdr w:val="none" w:sz="0" w:space="0" w:color="auto" w:frame="1"/>
          <w:shd w:val="clear" w:color="auto" w:fill="FFFFFF"/>
        </w:rPr>
        <w:t>11</w:t>
      </w:r>
      <w:r w:rsidRPr="00414DD1">
        <w:rPr>
          <w:rFonts w:asciiTheme="minorHAnsi" w:hAnsiTheme="minorHAnsi"/>
          <w:color w:val="333333"/>
          <w:shd w:val="clear" w:color="auto" w:fill="FFFFFF"/>
        </w:rPr>
        <w:t>:</w:t>
      </w:r>
      <w:r w:rsidRPr="00414DD1">
        <w:rPr>
          <w:rStyle w:val="pagefirst"/>
          <w:rFonts w:asciiTheme="minorHAnsi" w:hAnsiTheme="minorHAnsi"/>
          <w:color w:val="333333"/>
          <w:bdr w:val="none" w:sz="0" w:space="0" w:color="auto" w:frame="1"/>
          <w:shd w:val="clear" w:color="auto" w:fill="FFFFFF"/>
        </w:rPr>
        <w:t>364</w:t>
      </w:r>
      <w:r w:rsidRPr="00414DD1">
        <w:rPr>
          <w:rFonts w:asciiTheme="minorHAnsi" w:hAnsiTheme="minorHAnsi"/>
          <w:color w:val="333333"/>
          <w:shd w:val="clear" w:color="auto" w:fill="FFFFFF"/>
        </w:rPr>
        <w:t>–</w:t>
      </w:r>
      <w:r w:rsidRPr="00414DD1">
        <w:rPr>
          <w:rStyle w:val="pagelast"/>
          <w:rFonts w:asciiTheme="minorHAnsi" w:hAnsiTheme="minorHAnsi"/>
          <w:color w:val="333333"/>
          <w:bdr w:val="none" w:sz="0" w:space="0" w:color="auto" w:frame="1"/>
          <w:shd w:val="clear" w:color="auto" w:fill="FFFFFF"/>
        </w:rPr>
        <w:t>367</w:t>
      </w:r>
    </w:p>
    <w:p w:rsidR="00530E90" w:rsidRPr="00414DD1" w:rsidRDefault="00530E90" w:rsidP="00CF4491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i/>
        </w:rPr>
      </w:pP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Dişel NR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Akpınar AA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Sebe A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Karakoç E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Sürer S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Turhan FT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,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uthor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Matyar S.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articletitle"/>
          <w:rFonts w:asciiTheme="minorHAnsi" w:hAnsiTheme="minorHAnsi"/>
          <w:color w:val="333333"/>
          <w:bdr w:val="none" w:sz="0" w:space="0" w:color="auto" w:frame="1"/>
          <w:shd w:val="clear" w:color="auto" w:fill="FFFFFF"/>
          <w:lang w:val="en-GB"/>
        </w:rPr>
        <w:t>Therapeutic plasma exchange in poisoning: 8 years’ experience of a university hospital</w:t>
      </w:r>
      <w:r w:rsidRPr="00414DD1">
        <w:rPr>
          <w:rFonts w:asciiTheme="minorHAnsi" w:hAnsiTheme="minorHAnsi"/>
          <w:color w:val="333333"/>
          <w:shd w:val="clear" w:color="auto" w:fill="FFFFFF"/>
          <w:lang w:val="en-GB"/>
        </w:rPr>
        <w:t>.</w:t>
      </w:r>
      <w:r w:rsidRPr="00414DD1">
        <w:rPr>
          <w:rStyle w:val="apple-converted-space"/>
          <w:rFonts w:asciiTheme="minorHAnsi" w:hAnsiTheme="minorHAnsi"/>
          <w:color w:val="333333"/>
          <w:shd w:val="clear" w:color="auto" w:fill="FFFFFF"/>
          <w:lang w:val="en-GB"/>
        </w:rPr>
        <w:t> </w:t>
      </w:r>
      <w:r w:rsidRPr="00414DD1">
        <w:rPr>
          <w:rStyle w:val="journaltitle"/>
          <w:rFonts w:asciiTheme="minorHAnsi" w:hAnsiTheme="minorHAnsi"/>
          <w:i/>
          <w:iCs/>
          <w:color w:val="333333"/>
          <w:bdr w:val="none" w:sz="0" w:space="0" w:color="auto" w:frame="1"/>
          <w:shd w:val="clear" w:color="auto" w:fill="FFFFFF"/>
        </w:rPr>
        <w:t>Am J Emerg Med</w:t>
      </w:r>
      <w:r w:rsidRPr="00414DD1">
        <w:rPr>
          <w:rStyle w:val="pubyear"/>
          <w:rFonts w:asciiTheme="minorHAnsi" w:hAnsiTheme="minorHAnsi"/>
          <w:color w:val="333333"/>
          <w:bdr w:val="none" w:sz="0" w:space="0" w:color="auto" w:frame="1"/>
          <w:shd w:val="clear" w:color="auto" w:fill="FFFFFF"/>
        </w:rPr>
        <w:t>2015</w:t>
      </w:r>
      <w:r w:rsidRPr="00414DD1">
        <w:rPr>
          <w:rFonts w:asciiTheme="minorHAnsi" w:hAnsiTheme="minorHAnsi"/>
          <w:color w:val="333333"/>
          <w:shd w:val="clear" w:color="auto" w:fill="FFFFFF"/>
        </w:rPr>
        <w:t>;</w:t>
      </w:r>
      <w:r w:rsidRPr="00414DD1">
        <w:rPr>
          <w:rStyle w:val="vol"/>
          <w:rFonts w:asciiTheme="minorHAnsi" w:hAnsiTheme="minorHAnsi"/>
          <w:b/>
          <w:bCs/>
          <w:color w:val="333333"/>
          <w:bdr w:val="none" w:sz="0" w:space="0" w:color="auto" w:frame="1"/>
          <w:shd w:val="clear" w:color="auto" w:fill="FFFFFF"/>
        </w:rPr>
        <w:t>33</w:t>
      </w:r>
      <w:r w:rsidRPr="00414DD1">
        <w:rPr>
          <w:rFonts w:asciiTheme="minorHAnsi" w:hAnsiTheme="minorHAnsi"/>
          <w:color w:val="333333"/>
          <w:shd w:val="clear" w:color="auto" w:fill="FFFFFF"/>
        </w:rPr>
        <w:t>:</w:t>
      </w:r>
      <w:r w:rsidRPr="00414DD1">
        <w:rPr>
          <w:rStyle w:val="pagefirst"/>
          <w:rFonts w:asciiTheme="minorHAnsi" w:hAnsiTheme="minorHAnsi"/>
          <w:color w:val="333333"/>
          <w:bdr w:val="none" w:sz="0" w:space="0" w:color="auto" w:frame="1"/>
          <w:shd w:val="clear" w:color="auto" w:fill="FFFFFF"/>
        </w:rPr>
        <w:t>1391</w:t>
      </w:r>
      <w:r w:rsidRPr="00414DD1">
        <w:rPr>
          <w:rFonts w:asciiTheme="minorHAnsi" w:hAnsiTheme="minorHAnsi"/>
          <w:color w:val="333333"/>
          <w:shd w:val="clear" w:color="auto" w:fill="FFFFFF"/>
        </w:rPr>
        <w:t>–</w:t>
      </w:r>
      <w:r w:rsidRPr="00414DD1">
        <w:rPr>
          <w:rStyle w:val="pagelast"/>
          <w:rFonts w:asciiTheme="minorHAnsi" w:hAnsiTheme="minorHAnsi"/>
          <w:color w:val="333333"/>
          <w:bdr w:val="none" w:sz="0" w:space="0" w:color="auto" w:frame="1"/>
          <w:shd w:val="clear" w:color="auto" w:fill="FFFFFF"/>
        </w:rPr>
        <w:t>1395</w:t>
      </w:r>
      <w:r w:rsidRPr="00414DD1">
        <w:rPr>
          <w:rFonts w:asciiTheme="minorHAnsi" w:hAnsiTheme="minorHAnsi"/>
          <w:color w:val="333333"/>
          <w:shd w:val="clear" w:color="auto" w:fill="FFFFFF"/>
        </w:rPr>
        <w:t>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Ho WK, Verner E, Dauer R, Duggan J. ADAMTS-13 activity, microangiopathic haemolytic anaemia and thrombocytopenia following snake bite envenomation.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Pathology</w:t>
      </w:r>
      <w:r w:rsidRPr="00414DD1">
        <w:rPr>
          <w:rFonts w:asciiTheme="minorHAnsi" w:hAnsiTheme="minorHAnsi"/>
          <w:color w:val="333333"/>
          <w:sz w:val="24"/>
          <w:szCs w:val="24"/>
        </w:rPr>
        <w:t> 2010;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42</w:t>
      </w:r>
      <w:r w:rsidRPr="00414DD1">
        <w:rPr>
          <w:rFonts w:asciiTheme="minorHAnsi" w:hAnsiTheme="minorHAnsi"/>
          <w:color w:val="333333"/>
          <w:sz w:val="24"/>
          <w:szCs w:val="24"/>
        </w:rPr>
        <w:t>:200–202.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Ibrahim RB, Balogun RA. Medications and therapeutic apheresis procedures: are we doing our best?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J Clin Apher</w:t>
      </w:r>
      <w:r w:rsidRPr="00414DD1">
        <w:rPr>
          <w:rFonts w:asciiTheme="minorHAnsi" w:hAnsiTheme="minorHAnsi"/>
          <w:color w:val="333333"/>
          <w:sz w:val="24"/>
          <w:szCs w:val="24"/>
        </w:rPr>
        <w:t> 2013;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28</w:t>
      </w:r>
      <w:r w:rsidRPr="00414DD1">
        <w:rPr>
          <w:rFonts w:asciiTheme="minorHAnsi" w:hAnsiTheme="minorHAnsi"/>
          <w:color w:val="333333"/>
          <w:sz w:val="24"/>
          <w:szCs w:val="24"/>
        </w:rPr>
        <w:t>:73–77.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Ibrahim RB, Balogun RA. Medications in patients treated with therapeutic plasma exchange: prescription dosage, timing, and drug overdose.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Semin Dial</w:t>
      </w:r>
      <w:r w:rsidRPr="00414DD1">
        <w:rPr>
          <w:rFonts w:asciiTheme="minorHAnsi" w:hAnsiTheme="minorHAnsi"/>
          <w:color w:val="333333"/>
          <w:sz w:val="24"/>
          <w:szCs w:val="24"/>
        </w:rPr>
        <w:t> 2012;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25</w:t>
      </w:r>
      <w:r w:rsidRPr="00414DD1">
        <w:rPr>
          <w:rFonts w:asciiTheme="minorHAnsi" w:hAnsiTheme="minorHAnsi"/>
          <w:color w:val="333333"/>
          <w:sz w:val="24"/>
          <w:szCs w:val="24"/>
        </w:rPr>
        <w:t>:176–189.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Pahwa N, Bharani R, Jain M, Argal S, Soni H, Kosta S, Kumar R. Therapeutic plasma exchange: an effective treatment in ethylene dibromide poisoning cases.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J Clin Apher</w:t>
      </w:r>
      <w:r w:rsidRPr="00414DD1">
        <w:rPr>
          <w:rFonts w:asciiTheme="minorHAnsi" w:hAnsiTheme="minorHAnsi"/>
          <w:color w:val="333333"/>
          <w:sz w:val="24"/>
          <w:szCs w:val="24"/>
        </w:rPr>
        <w:t> 2013;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28</w:t>
      </w:r>
      <w:r w:rsidRPr="00414DD1">
        <w:rPr>
          <w:rFonts w:asciiTheme="minorHAnsi" w:hAnsiTheme="minorHAnsi"/>
          <w:color w:val="333333"/>
          <w:sz w:val="24"/>
          <w:szCs w:val="24"/>
        </w:rPr>
        <w:t>:374–377.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Pantanowitz L, Andrzejewski C. Plasma exchange therapy for victims of envenomation: is this reasonable?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J Clin Apher</w:t>
      </w:r>
      <w:r w:rsidRPr="00414DD1">
        <w:rPr>
          <w:rFonts w:asciiTheme="minorHAnsi" w:hAnsiTheme="minorHAnsi"/>
          <w:color w:val="333333"/>
          <w:sz w:val="24"/>
          <w:szCs w:val="24"/>
        </w:rPr>
        <w:t> 2006;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21</w:t>
      </w:r>
      <w:r w:rsidRPr="00414DD1">
        <w:rPr>
          <w:rFonts w:asciiTheme="minorHAnsi" w:hAnsiTheme="minorHAnsi"/>
          <w:color w:val="333333"/>
          <w:sz w:val="24"/>
          <w:szCs w:val="24"/>
        </w:rPr>
        <w:t>:215–218.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lastRenderedPageBreak/>
        <w:t>Patel N, Bayliss GP. Developments in extracorporeal therapy for the poisoned patient.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Adv Drug Deliv Rev</w:t>
      </w:r>
      <w:r w:rsidRPr="00414DD1">
        <w:rPr>
          <w:rFonts w:asciiTheme="minorHAnsi" w:hAnsiTheme="minorHAnsi"/>
          <w:color w:val="333333"/>
          <w:sz w:val="24"/>
          <w:szCs w:val="24"/>
        </w:rPr>
        <w:t> 2015;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90</w:t>
      </w:r>
      <w:r w:rsidRPr="00414DD1">
        <w:rPr>
          <w:rFonts w:asciiTheme="minorHAnsi" w:hAnsiTheme="minorHAnsi"/>
          <w:color w:val="333333"/>
          <w:sz w:val="24"/>
          <w:szCs w:val="24"/>
        </w:rPr>
        <w:t>:3–11.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Sari I, Turkcuer I, Erurker T, Serinken M, Seyit M, Keskin A. Therapeutic plasma exchange in amitriptyline intoxication: case report and review of the literature.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Transfus Apher Sci</w:t>
      </w:r>
      <w:r w:rsidRPr="00414DD1">
        <w:rPr>
          <w:rFonts w:asciiTheme="minorHAnsi" w:hAnsiTheme="minorHAnsi"/>
          <w:color w:val="333333"/>
          <w:sz w:val="24"/>
          <w:szCs w:val="24"/>
        </w:rPr>
        <w:t>2011;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45</w:t>
      </w:r>
      <w:r w:rsidRPr="00414DD1">
        <w:rPr>
          <w:rFonts w:asciiTheme="minorHAnsi" w:hAnsiTheme="minorHAnsi"/>
          <w:color w:val="333333"/>
          <w:sz w:val="24"/>
          <w:szCs w:val="24"/>
        </w:rPr>
        <w:t>:183–185.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</w:rPr>
        <w:t>Schutt RC, Ronco C, Rosner MH. </w:t>
      </w: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The role of therapeutic plasma exchange in poisonings and intoxications.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Semin Dial</w:t>
      </w:r>
      <w:r w:rsidRPr="00414DD1">
        <w:rPr>
          <w:rFonts w:asciiTheme="minorHAnsi" w:hAnsiTheme="minorHAnsi"/>
          <w:color w:val="333333"/>
          <w:sz w:val="24"/>
          <w:szCs w:val="24"/>
        </w:rPr>
        <w:t> 2012;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25</w:t>
      </w:r>
      <w:r w:rsidRPr="00414DD1">
        <w:rPr>
          <w:rFonts w:asciiTheme="minorHAnsi" w:hAnsiTheme="minorHAnsi"/>
          <w:color w:val="333333"/>
          <w:sz w:val="24"/>
          <w:szCs w:val="24"/>
        </w:rPr>
        <w:t>:201–206.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Valavi E, Ahmadzadeh A, Amoori P, Daneshgar A. High frequency of acquired ADAMTS13 deficiency after hemolysis in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  <w:lang w:val="en-GB"/>
        </w:rPr>
        <w:t>Hemiscorpius Lepturus</w:t>
      </w: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 (scorpion) stung children.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Indian J Pediatr</w:t>
      </w:r>
      <w:r w:rsidRPr="00414DD1">
        <w:rPr>
          <w:rFonts w:asciiTheme="minorHAnsi" w:hAnsiTheme="minorHAnsi"/>
          <w:color w:val="333333"/>
          <w:sz w:val="24"/>
          <w:szCs w:val="24"/>
        </w:rPr>
        <w:t>2014;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81</w:t>
      </w:r>
      <w:r w:rsidRPr="00414DD1">
        <w:rPr>
          <w:rFonts w:asciiTheme="minorHAnsi" w:hAnsiTheme="minorHAnsi"/>
          <w:color w:val="333333"/>
          <w:sz w:val="24"/>
          <w:szCs w:val="24"/>
        </w:rPr>
        <w:t>:665–669.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</w:rPr>
        <w:t>Wang CF, Nie XJ, Chen GM, Yu ZH, Li Z, Sun ZW, Weng ZF, Yang YY, Chen SL, Zheng SR, Luo YY, Lu YT,Cao HQ, Zhan HX. </w:t>
      </w: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Early plasma exchange for treating ricin toxicity in children after castor bean ingestion.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J Clin Apher</w:t>
      </w:r>
      <w:r w:rsidRPr="00414DD1">
        <w:rPr>
          <w:rFonts w:asciiTheme="minorHAnsi" w:hAnsiTheme="minorHAnsi"/>
          <w:color w:val="333333"/>
          <w:sz w:val="24"/>
          <w:szCs w:val="24"/>
        </w:rPr>
        <w:t> 2015;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30</w:t>
      </w:r>
      <w:r w:rsidRPr="00414DD1">
        <w:rPr>
          <w:rFonts w:asciiTheme="minorHAnsi" w:hAnsiTheme="minorHAnsi"/>
          <w:color w:val="333333"/>
          <w:sz w:val="24"/>
          <w:szCs w:val="24"/>
        </w:rPr>
        <w:t>:141–146.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Yesilbas O, Kihtir HS, Altiti M, Petmezci MT, Balkaya S, Bursal Duramaz B, Ersoy M, Sevketoglu E.Acute severe organophosphate poisoning in a child who was successfully treated with therapeutic plasma exchange, high-volume hemodiafiltration, and lipid infusion.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J Clin Apher</w:t>
      </w:r>
      <w:r w:rsidRPr="00414DD1">
        <w:rPr>
          <w:rFonts w:asciiTheme="minorHAnsi" w:hAnsiTheme="minorHAnsi"/>
          <w:color w:val="333333"/>
          <w:sz w:val="24"/>
          <w:szCs w:val="24"/>
        </w:rPr>
        <w:t>. 2015 Aug 14. [Epub ahead of print].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Yildirim C, Bayraktaroglu Z, Gunay N, Bozkurt S, Kose A, Yilmaz M. The use of therapeutic plasmapheresis in the treatment of poisoned and snake bite victims: an academic emergency department's experiences.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J Clin Apher</w:t>
      </w:r>
      <w:r w:rsidRPr="00414DD1">
        <w:rPr>
          <w:rFonts w:asciiTheme="minorHAnsi" w:hAnsiTheme="minorHAnsi"/>
          <w:color w:val="333333"/>
          <w:sz w:val="24"/>
          <w:szCs w:val="24"/>
        </w:rPr>
        <w:t> 2006;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21</w:t>
      </w:r>
      <w:r w:rsidRPr="00414DD1">
        <w:rPr>
          <w:rFonts w:asciiTheme="minorHAnsi" w:hAnsiTheme="minorHAnsi"/>
          <w:color w:val="333333"/>
          <w:sz w:val="24"/>
          <w:szCs w:val="24"/>
        </w:rPr>
        <w:t>:219–223.</w:t>
      </w:r>
    </w:p>
    <w:p w:rsidR="00530E90" w:rsidRPr="00414DD1" w:rsidRDefault="00530E90" w:rsidP="00CF4491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line="210" w:lineRule="atLeast"/>
        <w:ind w:left="0" w:firstLine="0"/>
        <w:jc w:val="both"/>
        <w:textAlignment w:val="baseline"/>
        <w:rPr>
          <w:rFonts w:asciiTheme="minorHAnsi" w:hAnsiTheme="minorHAnsi"/>
          <w:color w:val="333333"/>
          <w:sz w:val="24"/>
          <w:szCs w:val="24"/>
        </w:rPr>
      </w:pPr>
      <w:r w:rsidRPr="00414DD1">
        <w:rPr>
          <w:rFonts w:asciiTheme="minorHAnsi" w:hAnsiTheme="minorHAnsi"/>
          <w:color w:val="333333"/>
          <w:sz w:val="24"/>
          <w:szCs w:val="24"/>
          <w:lang w:val="en-GB"/>
        </w:rPr>
        <w:t>Zengin S, Yilmaz M, Al B, Yildirim C, Yarbil P, Kilic H, Bozkurt S, Kose A, Bayraktaroglu Z. Plasma exchange as a complementary approach to snake bite treatment: an academic emergency department's experiences. </w:t>
      </w:r>
      <w:r w:rsidRPr="00414DD1">
        <w:rPr>
          <w:rFonts w:asciiTheme="minorHAnsi" w:hAnsiTheme="minorHAnsi"/>
          <w:i/>
          <w:iCs/>
          <w:color w:val="333333"/>
          <w:sz w:val="24"/>
          <w:szCs w:val="24"/>
        </w:rPr>
        <w:t>Transfus Apher Sci</w:t>
      </w:r>
      <w:r w:rsidRPr="00414DD1">
        <w:rPr>
          <w:rFonts w:asciiTheme="minorHAnsi" w:hAnsiTheme="minorHAnsi"/>
          <w:color w:val="333333"/>
          <w:sz w:val="24"/>
          <w:szCs w:val="24"/>
        </w:rPr>
        <w:t> 2013;</w:t>
      </w:r>
      <w:r w:rsidRPr="00414DD1">
        <w:rPr>
          <w:rFonts w:asciiTheme="minorHAnsi" w:hAnsiTheme="minorHAnsi"/>
          <w:b/>
          <w:bCs/>
          <w:color w:val="333333"/>
          <w:sz w:val="24"/>
          <w:szCs w:val="24"/>
        </w:rPr>
        <w:t>49</w:t>
      </w:r>
      <w:r w:rsidRPr="00414DD1">
        <w:rPr>
          <w:rFonts w:asciiTheme="minorHAnsi" w:hAnsiTheme="minorHAnsi"/>
          <w:color w:val="333333"/>
          <w:sz w:val="24"/>
          <w:szCs w:val="24"/>
        </w:rPr>
        <w:t>:494–498</w:t>
      </w:r>
    </w:p>
    <w:p w:rsidR="00F04967" w:rsidRPr="00414DD1" w:rsidRDefault="00F04967" w:rsidP="00CF4491">
      <w:pPr>
        <w:widowControl w:val="0"/>
        <w:jc w:val="both"/>
        <w:rPr>
          <w:rFonts w:ascii="Calibri" w:hAnsi="Calibri"/>
          <w:sz w:val="24"/>
          <w:szCs w:val="24"/>
        </w:rPr>
      </w:pPr>
    </w:p>
    <w:sectPr w:rsidR="00F04967" w:rsidRPr="00414DD1" w:rsidSect="00176CEA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07" w:rsidRDefault="00984B07" w:rsidP="008D0484">
      <w:r>
        <w:separator/>
      </w:r>
    </w:p>
  </w:endnote>
  <w:endnote w:type="continuationSeparator" w:id="0">
    <w:p w:rsidR="00984B07" w:rsidRDefault="00984B07" w:rsidP="008D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969414"/>
      <w:docPartObj>
        <w:docPartGallery w:val="Page Numbers (Bottom of Page)"/>
        <w:docPartUnique/>
      </w:docPartObj>
    </w:sdtPr>
    <w:sdtContent>
      <w:p w:rsidR="00FF70DC" w:rsidRDefault="00FF70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38">
          <w:rPr>
            <w:noProof/>
          </w:rPr>
          <w:t>1</w:t>
        </w:r>
        <w:r>
          <w:fldChar w:fldCharType="end"/>
        </w:r>
      </w:p>
    </w:sdtContent>
  </w:sdt>
  <w:p w:rsidR="00AD7682" w:rsidRDefault="00AD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07" w:rsidRDefault="00984B07" w:rsidP="008D0484">
      <w:r>
        <w:separator/>
      </w:r>
    </w:p>
  </w:footnote>
  <w:footnote w:type="continuationSeparator" w:id="0">
    <w:p w:rsidR="00984B07" w:rsidRDefault="00984B07" w:rsidP="008D0484">
      <w:r>
        <w:continuationSeparator/>
      </w:r>
    </w:p>
  </w:footnote>
  <w:footnote w:id="1">
    <w:p w:rsidR="008D0484" w:rsidRPr="006F6F1E" w:rsidRDefault="008D0484" w:rsidP="006F6F1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212"/>
    <w:multiLevelType w:val="hybridMultilevel"/>
    <w:tmpl w:val="EE8899D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9A3D20"/>
    <w:multiLevelType w:val="hybridMultilevel"/>
    <w:tmpl w:val="4DB6C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90454"/>
    <w:multiLevelType w:val="hybridMultilevel"/>
    <w:tmpl w:val="E1BEC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1E98"/>
    <w:multiLevelType w:val="hybridMultilevel"/>
    <w:tmpl w:val="5CD002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4FA0"/>
    <w:multiLevelType w:val="hybridMultilevel"/>
    <w:tmpl w:val="C3FC3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D6CFB"/>
    <w:multiLevelType w:val="hybridMultilevel"/>
    <w:tmpl w:val="2EF0FD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60377D"/>
    <w:multiLevelType w:val="hybridMultilevel"/>
    <w:tmpl w:val="DF06A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175EA"/>
    <w:multiLevelType w:val="hybridMultilevel"/>
    <w:tmpl w:val="51327DEE"/>
    <w:lvl w:ilvl="0" w:tplc="0410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45296765"/>
    <w:multiLevelType w:val="hybridMultilevel"/>
    <w:tmpl w:val="C8AAB8A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AA7CD1"/>
    <w:multiLevelType w:val="hybridMultilevel"/>
    <w:tmpl w:val="7360B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97A49"/>
    <w:multiLevelType w:val="hybridMultilevel"/>
    <w:tmpl w:val="36387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B29DF"/>
    <w:multiLevelType w:val="hybridMultilevel"/>
    <w:tmpl w:val="8062ABB0"/>
    <w:lvl w:ilvl="0" w:tplc="AF6A05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424E"/>
    <w:multiLevelType w:val="hybridMultilevel"/>
    <w:tmpl w:val="F4E0EE12"/>
    <w:lvl w:ilvl="0" w:tplc="116CB8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9190C"/>
    <w:multiLevelType w:val="hybridMultilevel"/>
    <w:tmpl w:val="35988A2E"/>
    <w:lvl w:ilvl="0" w:tplc="31A85250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243F7"/>
    <w:multiLevelType w:val="hybridMultilevel"/>
    <w:tmpl w:val="3BAECE6C"/>
    <w:lvl w:ilvl="0" w:tplc="011ABA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B3D0C"/>
    <w:multiLevelType w:val="hybridMultilevel"/>
    <w:tmpl w:val="4C06143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97F5170"/>
    <w:multiLevelType w:val="hybridMultilevel"/>
    <w:tmpl w:val="1E0AD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4"/>
  </w:num>
  <w:num w:numId="13">
    <w:abstractNumId w:val="1"/>
  </w:num>
  <w:num w:numId="14">
    <w:abstractNumId w:val="6"/>
  </w:num>
  <w:num w:numId="15">
    <w:abstractNumId w:val="16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9F"/>
    <w:rsid w:val="00014A55"/>
    <w:rsid w:val="000272B2"/>
    <w:rsid w:val="000426A0"/>
    <w:rsid w:val="00063B12"/>
    <w:rsid w:val="00082688"/>
    <w:rsid w:val="00136F49"/>
    <w:rsid w:val="001569A7"/>
    <w:rsid w:val="00176CEA"/>
    <w:rsid w:val="00191ACB"/>
    <w:rsid w:val="001A4A7C"/>
    <w:rsid w:val="001C7AD1"/>
    <w:rsid w:val="001F37EF"/>
    <w:rsid w:val="001F7553"/>
    <w:rsid w:val="00222A87"/>
    <w:rsid w:val="00250A11"/>
    <w:rsid w:val="002517FA"/>
    <w:rsid w:val="00271D6C"/>
    <w:rsid w:val="002E47F7"/>
    <w:rsid w:val="002E7BEB"/>
    <w:rsid w:val="003017D5"/>
    <w:rsid w:val="00307277"/>
    <w:rsid w:val="00320798"/>
    <w:rsid w:val="00372B92"/>
    <w:rsid w:val="0038789C"/>
    <w:rsid w:val="003C73D5"/>
    <w:rsid w:val="003D3DF3"/>
    <w:rsid w:val="00414DD1"/>
    <w:rsid w:val="004545E5"/>
    <w:rsid w:val="004635C0"/>
    <w:rsid w:val="004C602E"/>
    <w:rsid w:val="00510D6F"/>
    <w:rsid w:val="00514E4A"/>
    <w:rsid w:val="005211C3"/>
    <w:rsid w:val="00526F2B"/>
    <w:rsid w:val="00530E90"/>
    <w:rsid w:val="00553038"/>
    <w:rsid w:val="00553F8E"/>
    <w:rsid w:val="00560140"/>
    <w:rsid w:val="00565EEA"/>
    <w:rsid w:val="00572E35"/>
    <w:rsid w:val="005A6CE5"/>
    <w:rsid w:val="005F127C"/>
    <w:rsid w:val="005F20C2"/>
    <w:rsid w:val="00632E66"/>
    <w:rsid w:val="00676ABB"/>
    <w:rsid w:val="006961DB"/>
    <w:rsid w:val="006F6F1E"/>
    <w:rsid w:val="0070198C"/>
    <w:rsid w:val="00780850"/>
    <w:rsid w:val="007B373E"/>
    <w:rsid w:val="007C4A88"/>
    <w:rsid w:val="0082283A"/>
    <w:rsid w:val="008853D7"/>
    <w:rsid w:val="00893C4A"/>
    <w:rsid w:val="008B74D3"/>
    <w:rsid w:val="008C3FAD"/>
    <w:rsid w:val="008D0484"/>
    <w:rsid w:val="008E32EA"/>
    <w:rsid w:val="00984B07"/>
    <w:rsid w:val="00A70C3D"/>
    <w:rsid w:val="00A7564B"/>
    <w:rsid w:val="00A82ABC"/>
    <w:rsid w:val="00AD7682"/>
    <w:rsid w:val="00B018BD"/>
    <w:rsid w:val="00B76589"/>
    <w:rsid w:val="00B8419F"/>
    <w:rsid w:val="00B90B4B"/>
    <w:rsid w:val="00B93A30"/>
    <w:rsid w:val="00C55C10"/>
    <w:rsid w:val="00C82557"/>
    <w:rsid w:val="00C83E1F"/>
    <w:rsid w:val="00C87665"/>
    <w:rsid w:val="00CB0C96"/>
    <w:rsid w:val="00CF4491"/>
    <w:rsid w:val="00DA0CA2"/>
    <w:rsid w:val="00DB2A92"/>
    <w:rsid w:val="00DC51D4"/>
    <w:rsid w:val="00DE47AD"/>
    <w:rsid w:val="00E13258"/>
    <w:rsid w:val="00E23956"/>
    <w:rsid w:val="00E36ABC"/>
    <w:rsid w:val="00E60555"/>
    <w:rsid w:val="00EB1D58"/>
    <w:rsid w:val="00F04967"/>
    <w:rsid w:val="00F3639E"/>
    <w:rsid w:val="00F50282"/>
    <w:rsid w:val="00FC1031"/>
    <w:rsid w:val="00FE29B5"/>
    <w:rsid w:val="00FE4AC1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D9351-6911-4A57-9658-6A1F9C86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49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0850"/>
    <w:pPr>
      <w:spacing w:after="0" w:line="285" w:lineRule="auto"/>
    </w:pPr>
    <w:rPr>
      <w:rFonts w:ascii="Times New Roman" w:eastAsia="Times New Roman" w:hAnsi="Times New Roman" w:cs="Times New Roman"/>
      <w:color w:val="00000A"/>
      <w:kern w:val="30"/>
      <w:sz w:val="24"/>
      <w:szCs w:val="24"/>
      <w:lang w:eastAsia="it-IT"/>
      <w14:ligatures w14:val="standard"/>
      <w14:cntxtAlts/>
    </w:rPr>
  </w:style>
  <w:style w:type="paragraph" w:styleId="Paragrafoelenco">
    <w:name w:val="List Paragraph"/>
    <w:basedOn w:val="Normale"/>
    <w:uiPriority w:val="34"/>
    <w:qFormat/>
    <w:rsid w:val="003D3DF3"/>
    <w:pPr>
      <w:ind w:left="720"/>
      <w:contextualSpacing/>
    </w:pPr>
    <w:rPr>
      <w:color w:val="auto"/>
      <w:kern w:val="0"/>
      <w:sz w:val="24"/>
      <w:szCs w:val="24"/>
      <w14:ligatures w14:val="none"/>
      <w14:cntxtAlts w14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3A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048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0484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0484"/>
    <w:rPr>
      <w:vertAlign w:val="superscript"/>
    </w:rPr>
  </w:style>
  <w:style w:type="character" w:customStyle="1" w:styleId="author">
    <w:name w:val="author"/>
    <w:basedOn w:val="Carpredefinitoparagrafo"/>
    <w:rsid w:val="008D0484"/>
  </w:style>
  <w:style w:type="character" w:customStyle="1" w:styleId="apple-converted-space">
    <w:name w:val="apple-converted-space"/>
    <w:basedOn w:val="Carpredefinitoparagrafo"/>
    <w:rsid w:val="008D0484"/>
  </w:style>
  <w:style w:type="character" w:customStyle="1" w:styleId="articletitle">
    <w:name w:val="articletitle"/>
    <w:basedOn w:val="Carpredefinitoparagrafo"/>
    <w:rsid w:val="008D0484"/>
  </w:style>
  <w:style w:type="character" w:customStyle="1" w:styleId="journaltitle">
    <w:name w:val="journaltitle"/>
    <w:basedOn w:val="Carpredefinitoparagrafo"/>
    <w:rsid w:val="008D0484"/>
  </w:style>
  <w:style w:type="character" w:customStyle="1" w:styleId="pubyear">
    <w:name w:val="pubyear"/>
    <w:basedOn w:val="Carpredefinitoparagrafo"/>
    <w:rsid w:val="008D0484"/>
  </w:style>
  <w:style w:type="character" w:customStyle="1" w:styleId="vol">
    <w:name w:val="vol"/>
    <w:basedOn w:val="Carpredefinitoparagrafo"/>
    <w:rsid w:val="008D0484"/>
  </w:style>
  <w:style w:type="character" w:customStyle="1" w:styleId="pagefirst">
    <w:name w:val="pagefirst"/>
    <w:basedOn w:val="Carpredefinitoparagrafo"/>
    <w:rsid w:val="008D0484"/>
  </w:style>
  <w:style w:type="character" w:customStyle="1" w:styleId="pagelast">
    <w:name w:val="pagelast"/>
    <w:basedOn w:val="Carpredefinitoparagrafo"/>
    <w:rsid w:val="008D0484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F6F1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F6F1E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7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682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7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682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55040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02D3-89DB-4DD6-B992-8779011C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RVEAdmin</dc:creator>
  <cp:lastModifiedBy>Francesca Russo</cp:lastModifiedBy>
  <cp:revision>2</cp:revision>
  <dcterms:created xsi:type="dcterms:W3CDTF">2017-12-15T08:59:00Z</dcterms:created>
  <dcterms:modified xsi:type="dcterms:W3CDTF">2017-12-15T08:59:00Z</dcterms:modified>
</cp:coreProperties>
</file>